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jc w:val="center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ОТЧЕТ </w:t>
      </w:r>
    </w:p>
    <w:p>
      <w:pPr>
        <w:pStyle w:val="9"/>
        <w:spacing w:before="0" w:beforeAutospacing="0" w:after="0" w:afterAutospacing="0" w:line="360" w:lineRule="auto"/>
        <w:jc w:val="center"/>
        <w:rPr>
          <w:rStyle w:val="6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Главы Администрации Кулешовского сельского поселения о результатах его деятельности и деятельности администрации Кулешовского сельского поселения за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 полугодие 2020 года</w:t>
      </w:r>
      <w:r>
        <w:rPr>
          <w:rStyle w:val="6"/>
          <w:b w:val="0"/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 w:line="360" w:lineRule="auto"/>
        <w:jc w:val="center"/>
        <w:rPr>
          <w:rStyle w:val="6"/>
          <w:b w:val="0"/>
          <w:sz w:val="28"/>
          <w:szCs w:val="28"/>
        </w:rPr>
      </w:pPr>
    </w:p>
    <w:p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Уставом Кулешовского сельского поселения, Регламента Собрания депутатов Кулешовского сельского поселения, представляю Вашему вниманию отчет о проделанной работе И.о. Главы Администрации и Администрации Кулешовского сельского поселения. В лице органа местного самоуправления Кулешовского сельского поселения выступает Администрация Кулешовского сельского поселения, которая является главным распорядителем средств бюджета  поселения.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деятельности Администрации Кулешовского сельского поселения является обеспечение повседневных потребностей поселения, проживающих на его территории граждан, а также обеспечение защиты их интересов и повышение его благосостояния.</w:t>
      </w:r>
    </w:p>
    <w:p>
      <w:pPr>
        <w:pStyle w:val="10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ИСПОЛНЕНИЕ БЮДЖЕТА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За 2020 год в бюджет Кулешовского сельского поселения поступило 34335,1 тысячи рублей   доходов с учетом безвозмездных поступлений, которые составили 19813,4 тысяч рублей. Бюджет Кулешовского сельского поселения выполнен на 89,4%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Поступление собственных доходов бюджета Кулешовского сельского поселения составило 14521,7 тысяч рублей  или 112,4%  от годового плана. Собственные доходы включают в себя налоговые и неналоговые доходы. Наибольший удельный вес в структуре налоговых и неналоговых  доходов в 2020 г приходится на :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-земельный  налог 51,9 %  или 7540,8тыс. руб., рост составил 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3387,7 тыс. руб., увеличение налога произошло за счет  погашения задолженности прошлых лет. 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-налогу на доходы физических лиц 32,9% или 4771,5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-налогу на имущество с физических лиц 12,1% или 1761,6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-единому сельскохозяйственному налогу (ЕСХН) 2 % или  327,9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государственной пошлине 0,2 % или 23,8 тыс. руб.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Наибольший удельный вес в структуре неналоговых доходов составляют доходы от сдачи в аренду имущества, находящегося в муниципальной собственности составили 99,0% или 95,1 тыс. руб.; доля  штрафов в составе неналоговых доходов равна   1% или 1,0 тыс. руб.; </w:t>
      </w:r>
    </w:p>
    <w:p>
      <w:pPr>
        <w:ind w:firstLine="708"/>
        <w:jc w:val="both"/>
        <w:rPr>
          <w:highlight w:val="none"/>
        </w:rPr>
      </w:pP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РАСХОДЫ ПОСЕЛЕНИЯ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u w:val="single"/>
        </w:rPr>
        <w:t>Расходы бюджета</w:t>
      </w:r>
      <w:r>
        <w:rPr>
          <w:sz w:val="28"/>
          <w:szCs w:val="28"/>
          <w:highlight w:val="none"/>
        </w:rPr>
        <w:t xml:space="preserve"> поселения за 2020 год составили 29439,0 тыс. рублей или 89,4 % исполнения плана, который составил 32914,5тыс. рублей.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Расходы бюджета представлены следующими разделами бюджетной классификации расходов:</w:t>
      </w:r>
    </w:p>
    <w:tbl>
      <w:tblPr>
        <w:tblStyle w:val="5"/>
        <w:tblW w:w="972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445"/>
        <w:gridCol w:w="1561"/>
        <w:gridCol w:w="131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Показатель 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План на 2019 год 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Фактически исполнено за 2019 год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% исполнения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Удельный вес фактических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 Рacходы бюджета - всего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32914,5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29439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89,4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Общегосударственные вопросы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11745,4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10226,1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87,1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Национальная оборона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693,4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693,4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2345,1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2172,5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92,6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 Дорожное хозяйство и другие вопросы экономики 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1757,3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1540,3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87,6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Жилищно-коммунальное хозяйство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12126,6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10747,7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88,6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Образование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0,2</w:t>
            </w:r>
          </w:p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Культура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2414,9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2414,9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Социальная политика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378,0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192,0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Физическая культура и спорт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1403,8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1402,1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99,9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4,8</w:t>
            </w:r>
          </w:p>
        </w:tc>
      </w:tr>
    </w:tbl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Наибольший удельный вес в бюджете поселения занимают расходы на </w:t>
      </w:r>
      <w:r>
        <w:rPr>
          <w:sz w:val="28"/>
          <w:szCs w:val="28"/>
          <w:highlight w:val="none"/>
          <w:u w:val="single"/>
        </w:rPr>
        <w:t>«жилищно-коммунальное хозяйство»</w:t>
      </w:r>
      <w:r>
        <w:rPr>
          <w:sz w:val="28"/>
          <w:szCs w:val="28"/>
          <w:highlight w:val="none"/>
        </w:rPr>
        <w:t xml:space="preserve"> -36,5 % всех расходов бюджета поселения в 2020 году, что составляет  10747,7 тыс. рублей.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В том числе: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Оплата за уличное освещение- 1673,0 тыс. рублей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техническое обслуживание светильников уличного освещения по населенным пунктам и установку новых светильников, обслуживание КТП на сумму 622,4 тыс. рублей.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имущественный взнос в НКО по капитальному ремонту -147,3 тыс. руб.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на жилищно коммунальное хозяйство  израсходовано 10747,7 тыс. руб. 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проведена противоклещевая обработка территории на  сумму 28,8 тыс. рублей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организация трудоустройства несовершеннолетних граждан на сумму 37,9 тыс. рублей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озеленение территории на сумму 549,9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обрезка деревьев на сумму 550,0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-установка, содержание и обустройство детских площадок -848,1 тыс.руб.</w:t>
      </w:r>
    </w:p>
    <w:p>
      <w:pPr>
        <w:spacing w:line="360" w:lineRule="auto"/>
        <w:ind w:firstLine="708"/>
        <w:jc w:val="both"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уборка мусора на сумму 2714,3тыс.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отлов бродячих собак 492,3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ремонт памятников 139,5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приобретение мусорных баков  442,5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разработка технической документации на парковую зону (роща)-299,0 тыс.руб.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покос сорной растительности 768,0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2020 г произведен капитальный ремонт мемориала воинам погибшим при освобождении с. Кулешовка на сумму 710,0 тыс.руб.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  <w:u w:val="single"/>
        </w:rPr>
        <w:t>«Общегосударственные вопросы-функционирование местных органов власти»</w:t>
      </w:r>
      <w:r>
        <w:rPr>
          <w:sz w:val="28"/>
          <w:szCs w:val="28"/>
          <w:highlight w:val="none"/>
        </w:rPr>
        <w:t xml:space="preserve"> в составе всех расходов составляют 31,1%  или 9870,1 тыс. рублей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затраты), а также расходы на регистрацию права собственности на имущество поселения, земельный налог, налог на имущество муниципальной собственности.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Расходы на </w:t>
      </w:r>
      <w:r>
        <w:rPr>
          <w:sz w:val="28"/>
          <w:szCs w:val="28"/>
          <w:highlight w:val="none"/>
          <w:u w:val="single"/>
        </w:rPr>
        <w:t>«культуру»</w:t>
      </w:r>
      <w:r>
        <w:rPr>
          <w:sz w:val="28"/>
          <w:szCs w:val="28"/>
          <w:highlight w:val="none"/>
        </w:rPr>
        <w:t xml:space="preserve"> составляют 8,2% всех расходов или 2414,9тыс. рублей. Это расходы на содержание учреждения культуры Кулешовского сельского поселения: муниципальное бюджетное учреждение культуры «Сельский Дом культуры п. Тимирязевский».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Расходы по разделу «</w:t>
      </w:r>
      <w:r>
        <w:rPr>
          <w:sz w:val="28"/>
          <w:szCs w:val="28"/>
          <w:highlight w:val="none"/>
          <w:u w:val="single"/>
        </w:rPr>
        <w:t>Дорожное хозяйство»</w:t>
      </w:r>
      <w:r>
        <w:rPr>
          <w:sz w:val="28"/>
          <w:szCs w:val="28"/>
          <w:highlight w:val="none"/>
        </w:rPr>
        <w:t xml:space="preserve"> составляют 4,8% всех расходов или 1409,3 тыс. рублей произведенных расходов. На расходы по данному разделу направляются средства из районного бюджета.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На «национальную оборону» было израсходовано 693,4тыс.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3 штатных единиц инспекторов по воинскому учету).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  <w:u w:val="single"/>
        </w:rPr>
        <w:t>«национальную безопасность и правоохранительную деятельность»</w:t>
      </w:r>
      <w:r>
        <w:rPr>
          <w:sz w:val="28"/>
          <w:szCs w:val="28"/>
          <w:highlight w:val="none"/>
        </w:rPr>
        <w:t xml:space="preserve"> расходы составили 2172,5 тыс. рублей, которые израсходованы на приобретение услуги по приобретению картинки видеонаблюдения, также изготовление печатной продукции по борьбе с экстремизмом и терроризмом.</w:t>
      </w:r>
    </w:p>
    <w:p>
      <w:pPr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color w:val="222222"/>
          <w:sz w:val="28"/>
          <w:szCs w:val="28"/>
          <w:highlight w:val="none"/>
        </w:rPr>
        <w:t>В текущем 2021 году бюджетная политика Кулешовского сельского поселения будет направлена на дальнейшее увеличение налогового потенциала путем работы с задолжниками, о</w:t>
      </w:r>
      <w:r>
        <w:rPr>
          <w:sz w:val="28"/>
          <w:szCs w:val="28"/>
          <w:highlight w:val="none"/>
        </w:rPr>
        <w:t>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>
      <w:pPr>
        <w:spacing w:line="360" w:lineRule="auto"/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>СПОРТ</w:t>
      </w: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  <w:u w:val="single"/>
        </w:rPr>
        <w:t>«физическую культуру и спорт»</w:t>
      </w:r>
      <w:r>
        <w:rPr>
          <w:sz w:val="28"/>
          <w:szCs w:val="28"/>
          <w:highlight w:val="none"/>
        </w:rPr>
        <w:t xml:space="preserve"> из бюджета поселения было израсходовано 1402,1 тыс. рублей, из них приобретение спортивного оборудования 1197,9 тыс. руб., установка спортивного оборудования 154,2 тыс.руб, приобретение спортивной формы на 50,0 тыс. руб.</w:t>
      </w: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РАБОТА С ОБРАЩЕНИЯМИ ГРАЖДАН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Работа по рассмотрению обращений граждан ведется в Администрации Кулешовского сельского поселения в соответствии с Федеральным Законом «О порядке рассмотрения обращений граждан Российской Федерации» и Административным Регламентом рассмотрения обращений граждан.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За </w:t>
      </w:r>
      <w:r>
        <w:rPr>
          <w:sz w:val="28"/>
          <w:szCs w:val="28"/>
          <w:highlight w:val="none"/>
          <w:lang w:val="en-US"/>
        </w:rPr>
        <w:t>II</w:t>
      </w:r>
      <w:r>
        <w:rPr>
          <w:sz w:val="28"/>
          <w:szCs w:val="28"/>
          <w:highlight w:val="none"/>
        </w:rPr>
        <w:t xml:space="preserve"> полугодие 2020 года в Администрацию Кулешовского сельского поселения поступило 189 обращений. Из общего числа обращений 119 – письменные, 70 – устные (по телефону).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Основные вопросы письменных обращений – это вопросы ЖКХ, землепользования, строительства, отлова безнадзорных животных и социальной защиты населения.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срок рассмотрено 98 % обращений.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Администрации Кулешовского сельского поселения в соответствии            с законодательством РФ организован прием граждан Главой Администрации. Утвержден график приема населения специалистами Администрации Кулешовского сельского поселения.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личный прием Главы Администрации жители приходят лично или обращаются по телефону. Обращения регистрируются в журнале. Часть заявителей получают ответы еще в период подготовки к приему или в ходе приема граждан. На вопросы, требующие для рассмотрения дополнительного времени, заявитель получает письменный ответ.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Работа с обращениями граждан была и остается одним из важных направлений деятельности Администрации Кулешовского сельского поселения.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  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 xml:space="preserve">Администрацией за </w:t>
      </w:r>
      <w:r>
        <w:rPr>
          <w:sz w:val="28"/>
          <w:szCs w:val="28"/>
          <w:highlight w:val="none"/>
          <w:lang w:val="en-US"/>
        </w:rPr>
        <w:t>II</w:t>
      </w:r>
      <w:r>
        <w:rPr>
          <w:sz w:val="28"/>
          <w:szCs w:val="28"/>
          <w:highlight w:val="none"/>
        </w:rPr>
        <w:t xml:space="preserve"> полугодие 2020 года выдано 70 выписок из похозяйственных книг.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</w:t>
      </w:r>
      <w:r>
        <w:rPr>
          <w:rFonts w:hint="default"/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нотариальных действий.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втором</w:t>
      </w:r>
      <w:r>
        <w:rPr>
          <w:sz w:val="28"/>
          <w:szCs w:val="28"/>
        </w:rPr>
        <w:t xml:space="preserve"> полугодии 2020 года на учете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highlight w:val="none"/>
        </w:rPr>
        <w:t xml:space="preserve"> настоящее время на жилищном учете состоят 24 семьи, из них: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молодые семьи и специалисты, работающие на селе - 15,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малоимущие – 9</w:t>
      </w:r>
      <w:r>
        <w:rPr>
          <w:color w:val="FF0000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семей.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Проведено консультаций по постановке семей на жилищный учет – более </w:t>
      </w: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50. 1 семья обеспечена жильем по договору социального найма.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 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 xml:space="preserve">Регулярно ведется работа с молодежью и несовершеннолетними детьми, проживающими на территории Кулешовского сельского поселения: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  проверка по месту жительства всех несовершеннолетних, их родителей или законных представителей, состоящих на учете в органах внутренних дел,                       в комиссии по делам несовершеннолетних и защите их прав,                                          в образовательных учреждениях, в органах социальной защиты населения. Выяснение условий воспитания в семье, занятости подростков. При необходимости - принятие мер по улучшению обстановки в семье,                            по привлечению детей к организованным формам труда и отдыха, оказание помощи всех видов.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Выявление совместно с наркологическими службами и участковыми-уполномоченными несовершеннолетних, употребляющих спиртные напитки, наркотические, психотропные и одурманивающие вещества. Принятие мер для стационарного или амбулаторного лечения подростков, замеченных в неоднократном их применении;  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помощь в определении несовершеннолетних из семей, оказавшихся в тяжелой жизненной ситуации,  в реабилитационный центр Азовского района – 1 семья.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 - проведено 3 заседания Общественной комиссии при администрации Кулешовского сельского поселения;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проведено </w:t>
      </w:r>
      <w:r>
        <w:rPr>
          <w:highlight w:val="none"/>
        </w:rPr>
        <w:t>6</w:t>
      </w:r>
      <w:r>
        <w:rPr>
          <w:sz w:val="28"/>
          <w:szCs w:val="28"/>
          <w:highlight w:val="none"/>
        </w:rPr>
        <w:t xml:space="preserve"> рейдовых мероприятий в ночное время с целью выявления несовершеннолетних, находящихся в ночное время без сопровождения родителей; во время каждого рейда с подростками проводились профилактические беседы.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 - проведено 25 рейдовых мероприятий на территории озера пос. АКДП с целью профилактики несчастных случаев на воде и водных объектах.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Во втором полугодии 2020 г. проводились мероприятия, направленные на: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проверку подвалов, чердаков, территорий дошкольных и образовательных учреждений с целью выявления групп подростков антиобщественной направленности;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посещение по месту жительства всех несовершеннолетних, осужденных                  к мерам, не связанным с лишением свободы; вернувшихся из воспитательных колоний и специальных учебно-воспитательных учреждений;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проверку общественно-полезной занятости подростков, состоящих на учете органов внутренних дел, образовательных учреждений; 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highlight w:val="none"/>
        </w:rPr>
        <w:t>- проверку состояния общественного порядка в местах массового отдыха и досуга молодежи (парки, дискотеки, танцплощадки,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общежития, оздоровительные лагеря и т.д.); обеспечение общественного порядка.</w:t>
      </w:r>
      <w:r>
        <w:rPr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прибывающих в запасе, и граждан, подлежащих призыву на военную службу в ВС РФ в Администрации организован и ведется                            в соответствии с требованиями закона РФ «О воинской обязанности и военной службе».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состоят 32</w:t>
      </w:r>
      <w:r>
        <w:rPr>
          <w:rFonts w:hint="default"/>
          <w:sz w:val="28"/>
          <w:szCs w:val="28"/>
          <w:lang w:val="ru-RU"/>
        </w:rPr>
        <w:t>62</w:t>
      </w:r>
      <w:r>
        <w:rPr>
          <w:sz w:val="28"/>
          <w:szCs w:val="28"/>
        </w:rPr>
        <w:t xml:space="preserve">  человек, в том числе: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офицеры- 15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чел.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сержанты и солдаты – 28</w:t>
      </w:r>
      <w:r>
        <w:rPr>
          <w:rFonts w:hint="default"/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чел.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призывники – 254 чел. </w:t>
      </w:r>
    </w:p>
    <w:p>
      <w:pPr>
        <w:pStyle w:val="9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о работе МБУК СДК пос. Тимирязевский.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Кулешовского сельского поселения находится муниципальное бюджетное учреждение культуры «Сельский Дом культуры п. Тимирязевский» Кулешовского сельского поселения, который является площадкой для проведения массовых концертных мероприятий.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2020 г. работниками дома культуры пос. Тимирязевский организовано и проведено 143 мероприятия разной направленности, в том числе выездные мероприятия в с. Кулешовка. Это мероприятия, посвященные федеральным, областным, райо</w:t>
      </w:r>
      <w:bookmarkStart w:id="0" w:name="_GoBack"/>
      <w:bookmarkEnd w:id="0"/>
      <w:r>
        <w:rPr>
          <w:sz w:val="28"/>
          <w:szCs w:val="28"/>
        </w:rPr>
        <w:t xml:space="preserve">нным и календарным праздникам.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В СДК пос. Тимирязевский существует: 23 клубных формирования, членами которых являются 403 человека; 14 детских кружков, которые посещает 254 детей; 3 кружка для молодежи – 52 человека; 8 любительских объединений (клуб «Мафия», клуб пожилого человека, кулинарный клуб и др.) – 177 человек; 15 кружков самодеятельного народного творчества – 226 человек, из них: детских 11 шт., в которые ходит 184 детей, 2 молодежных - 25 человек. Все кружки бесплатные.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Сотрудники Дома культуры тесно сотрудничают с библиотеками Кулешовского сельского поселения, совместно проводят тематические мероприятия.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период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.2020г по 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.2020г. Администрация Кулешовского сельского поселения проводила мероприятия направленные на борьбу и предотвращение развития коронавирусной инфекции на территории Кулешовского сельского поселения. Во исполнение Постановление, Распоряжение Правительства Ростовской области, Роспотребнадзора, главного санитарного врача Ростовской области, и иных нормативных правовых актов (НПА) по борьбе с распространением  с коронавирусной инфекции: проводилась проверка соблюдения организациями (ИП и торговые павильоны, магазины и т.д.) санитарно- эпидемических норм,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соблюдением населения Кулешовского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масочного режима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социального дистанцирование,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в торговых объектах и в транспортах общего пользования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егулярно проводится </w:t>
      </w:r>
      <w:r>
        <w:rPr>
          <w:rFonts w:hint="default" w:ascii="Times New Roman" w:hAnsi="Times New Roman" w:cs="Times New Roman"/>
          <w:sz w:val="28"/>
          <w:szCs w:val="28"/>
        </w:rPr>
        <w:t>информационно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разъяснительная работа о соблюдении масочного режима и дезинфекции,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мерах по профилактике ОРВИ, гриппа и снижения рисков распространения новой коронавирусной инфекции (COVID-19)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поселения, режим самоизоляции, масочного режима, а также санитарно-эпидемических требований.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Кулешовского сельского поселения</w:t>
      </w:r>
    </w:p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E"/>
    <w:rsid w:val="000065A4"/>
    <w:rsid w:val="0001784E"/>
    <w:rsid w:val="000338BF"/>
    <w:rsid w:val="000447DE"/>
    <w:rsid w:val="00075225"/>
    <w:rsid w:val="000B083F"/>
    <w:rsid w:val="000B1BDD"/>
    <w:rsid w:val="000B1F98"/>
    <w:rsid w:val="000F1111"/>
    <w:rsid w:val="000F31A7"/>
    <w:rsid w:val="00125B43"/>
    <w:rsid w:val="00137D29"/>
    <w:rsid w:val="00152406"/>
    <w:rsid w:val="00180831"/>
    <w:rsid w:val="00195F0C"/>
    <w:rsid w:val="001A5A2B"/>
    <w:rsid w:val="001B6A32"/>
    <w:rsid w:val="001C4077"/>
    <w:rsid w:val="001C7C62"/>
    <w:rsid w:val="001E2D4B"/>
    <w:rsid w:val="001F3AEC"/>
    <w:rsid w:val="001F4D81"/>
    <w:rsid w:val="002B1025"/>
    <w:rsid w:val="002D44C9"/>
    <w:rsid w:val="002D53CD"/>
    <w:rsid w:val="002E5685"/>
    <w:rsid w:val="00300908"/>
    <w:rsid w:val="00307BAB"/>
    <w:rsid w:val="00347EA2"/>
    <w:rsid w:val="00353024"/>
    <w:rsid w:val="00382F6B"/>
    <w:rsid w:val="003C4743"/>
    <w:rsid w:val="003D36A1"/>
    <w:rsid w:val="00421500"/>
    <w:rsid w:val="00421B69"/>
    <w:rsid w:val="00470B60"/>
    <w:rsid w:val="00480B36"/>
    <w:rsid w:val="004B1532"/>
    <w:rsid w:val="004C5ACB"/>
    <w:rsid w:val="004D7A22"/>
    <w:rsid w:val="004F260E"/>
    <w:rsid w:val="004F3A07"/>
    <w:rsid w:val="00502D94"/>
    <w:rsid w:val="00516A0A"/>
    <w:rsid w:val="0052192A"/>
    <w:rsid w:val="00544B5A"/>
    <w:rsid w:val="00550A1E"/>
    <w:rsid w:val="00561B5D"/>
    <w:rsid w:val="00566058"/>
    <w:rsid w:val="0057582F"/>
    <w:rsid w:val="00583EF1"/>
    <w:rsid w:val="00585C4C"/>
    <w:rsid w:val="00586967"/>
    <w:rsid w:val="00596C52"/>
    <w:rsid w:val="005C5D8A"/>
    <w:rsid w:val="005E27E1"/>
    <w:rsid w:val="005F3778"/>
    <w:rsid w:val="0060605C"/>
    <w:rsid w:val="006353FF"/>
    <w:rsid w:val="0065166D"/>
    <w:rsid w:val="0069069A"/>
    <w:rsid w:val="00695544"/>
    <w:rsid w:val="006A5AC1"/>
    <w:rsid w:val="006B383B"/>
    <w:rsid w:val="006C56E6"/>
    <w:rsid w:val="006D6A43"/>
    <w:rsid w:val="006E3B92"/>
    <w:rsid w:val="006F0AB3"/>
    <w:rsid w:val="006F1B83"/>
    <w:rsid w:val="00757D6C"/>
    <w:rsid w:val="007665C0"/>
    <w:rsid w:val="00775B0E"/>
    <w:rsid w:val="00781B54"/>
    <w:rsid w:val="00813C47"/>
    <w:rsid w:val="008271A6"/>
    <w:rsid w:val="00860DEB"/>
    <w:rsid w:val="00880CFF"/>
    <w:rsid w:val="008A5F52"/>
    <w:rsid w:val="008D04FC"/>
    <w:rsid w:val="008D54BA"/>
    <w:rsid w:val="008F43D0"/>
    <w:rsid w:val="00900777"/>
    <w:rsid w:val="009044B3"/>
    <w:rsid w:val="00917B5B"/>
    <w:rsid w:val="00923859"/>
    <w:rsid w:val="009320EF"/>
    <w:rsid w:val="00951915"/>
    <w:rsid w:val="00955092"/>
    <w:rsid w:val="009625C9"/>
    <w:rsid w:val="009661C8"/>
    <w:rsid w:val="009C7B41"/>
    <w:rsid w:val="009D2256"/>
    <w:rsid w:val="00A32AEE"/>
    <w:rsid w:val="00A42061"/>
    <w:rsid w:val="00A4462B"/>
    <w:rsid w:val="00A52BAF"/>
    <w:rsid w:val="00A85C22"/>
    <w:rsid w:val="00A94E6E"/>
    <w:rsid w:val="00AB00F4"/>
    <w:rsid w:val="00AE1333"/>
    <w:rsid w:val="00B06DE4"/>
    <w:rsid w:val="00B33A3B"/>
    <w:rsid w:val="00B47311"/>
    <w:rsid w:val="00B50F83"/>
    <w:rsid w:val="00B51AF1"/>
    <w:rsid w:val="00B5613C"/>
    <w:rsid w:val="00B6313B"/>
    <w:rsid w:val="00B90F1D"/>
    <w:rsid w:val="00B97C8D"/>
    <w:rsid w:val="00BB25EF"/>
    <w:rsid w:val="00BB272E"/>
    <w:rsid w:val="00BD229E"/>
    <w:rsid w:val="00BE142E"/>
    <w:rsid w:val="00C120B4"/>
    <w:rsid w:val="00C303D0"/>
    <w:rsid w:val="00C44D04"/>
    <w:rsid w:val="00C45ECC"/>
    <w:rsid w:val="00C6164F"/>
    <w:rsid w:val="00C90C8E"/>
    <w:rsid w:val="00C938E4"/>
    <w:rsid w:val="00CA4268"/>
    <w:rsid w:val="00CB02A9"/>
    <w:rsid w:val="00CD28EA"/>
    <w:rsid w:val="00CE1CBB"/>
    <w:rsid w:val="00CE5D36"/>
    <w:rsid w:val="00D22DDA"/>
    <w:rsid w:val="00D845C5"/>
    <w:rsid w:val="00D84F0A"/>
    <w:rsid w:val="00D8641B"/>
    <w:rsid w:val="00D91EA0"/>
    <w:rsid w:val="00DA0172"/>
    <w:rsid w:val="00DA3D68"/>
    <w:rsid w:val="00DB7209"/>
    <w:rsid w:val="00DE7D8F"/>
    <w:rsid w:val="00DF2034"/>
    <w:rsid w:val="00E02C05"/>
    <w:rsid w:val="00E03D82"/>
    <w:rsid w:val="00E4525E"/>
    <w:rsid w:val="00E570ED"/>
    <w:rsid w:val="00E645B1"/>
    <w:rsid w:val="00E67C33"/>
    <w:rsid w:val="00EB4E51"/>
    <w:rsid w:val="00ED0EB6"/>
    <w:rsid w:val="00EE24C8"/>
    <w:rsid w:val="00EE3BB7"/>
    <w:rsid w:val="00EF211B"/>
    <w:rsid w:val="00EF4D1E"/>
    <w:rsid w:val="00F015A5"/>
    <w:rsid w:val="00F24793"/>
    <w:rsid w:val="00F2570F"/>
    <w:rsid w:val="00F272AF"/>
    <w:rsid w:val="00F34294"/>
    <w:rsid w:val="00F37487"/>
    <w:rsid w:val="00F459B9"/>
    <w:rsid w:val="00F53267"/>
    <w:rsid w:val="00F556DD"/>
    <w:rsid w:val="00F63BA5"/>
    <w:rsid w:val="00F82CAF"/>
    <w:rsid w:val="00F90967"/>
    <w:rsid w:val="00FA2D08"/>
    <w:rsid w:val="00FB6082"/>
    <w:rsid w:val="00FC13EE"/>
    <w:rsid w:val="00FC459A"/>
    <w:rsid w:val="00FD5196"/>
    <w:rsid w:val="00FF37B4"/>
    <w:rsid w:val="00FF7B14"/>
    <w:rsid w:val="076E0E8D"/>
    <w:rsid w:val="1030553E"/>
    <w:rsid w:val="11013E95"/>
    <w:rsid w:val="11503F35"/>
    <w:rsid w:val="175019B4"/>
    <w:rsid w:val="262F3CE4"/>
    <w:rsid w:val="44EB149C"/>
    <w:rsid w:val="58955858"/>
    <w:rsid w:val="69932ECF"/>
    <w:rsid w:val="6A343BA3"/>
    <w:rsid w:val="6F245123"/>
    <w:rsid w:val="789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qFormat/>
    <w:uiPriority w:val="99"/>
    <w:rPr>
      <w:rFonts w:ascii="Tahoma" w:hAnsi="Tahoma"/>
      <w:sz w:val="16"/>
      <w:szCs w:val="16"/>
    </w:rPr>
  </w:style>
  <w:style w:type="paragraph" w:styleId="8">
    <w:name w:val="Body Text"/>
    <w:basedOn w:val="1"/>
    <w:link w:val="13"/>
    <w:qFormat/>
    <w:uiPriority w:val="0"/>
    <w:pPr>
      <w:suppressAutoHyphens/>
      <w:spacing w:line="100" w:lineRule="atLeast"/>
    </w:pPr>
    <w:rPr>
      <w:kern w:val="1"/>
      <w:sz w:val="28"/>
      <w:szCs w:val="20"/>
      <w:lang w:eastAsia="ar-SA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customStyle="1" w:styleId="10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2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Основной текст Знак"/>
    <w:link w:val="8"/>
    <w:qFormat/>
    <w:uiPriority w:val="0"/>
    <w:rPr>
      <w:rFonts w:ascii="Times New Roman" w:hAnsi="Times New Roman" w:eastAsia="Times New Roman" w:cs="Times New Roman"/>
      <w:kern w:val="1"/>
      <w:sz w:val="28"/>
      <w:szCs w:val="20"/>
      <w:lang w:eastAsia="ar-SA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5">
    <w:name w:val="Заголовок 2 Знак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16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D7A46-CFB9-49BD-AFA2-21B2540C1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1923</Words>
  <Characters>10962</Characters>
  <Lines>91</Lines>
  <Paragraphs>25</Paragraphs>
  <TotalTime>19</TotalTime>
  <ScaleCrop>false</ScaleCrop>
  <LinksUpToDate>false</LinksUpToDate>
  <CharactersWithSpaces>12860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2020-07-02T07:48:00Z</dcterms:created>
  <dc:creator>Админситрация</dc:creator>
  <cp:lastModifiedBy>Юрист</cp:lastModifiedBy>
  <cp:lastPrinted>2020-07-03T11:09:00Z</cp:lastPrinted>
  <dcterms:modified xsi:type="dcterms:W3CDTF">2021-02-08T06:07:27Z</dcterms:modified>
  <dc:title>ОТЧЕТ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