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3" w:rsidRPr="00B70883" w:rsidRDefault="00B70883" w:rsidP="00B70883">
      <w:pPr>
        <w:keepNext/>
        <w:suppressAutoHyphens/>
        <w:spacing w:before="240" w:after="120" w:line="100" w:lineRule="atLeast"/>
        <w:jc w:val="right"/>
        <w:rPr>
          <w:rFonts w:eastAsia="Lucida Sans Unicode"/>
          <w:bCs/>
          <w:kern w:val="2"/>
          <w:sz w:val="28"/>
          <w:szCs w:val="28"/>
          <w:u w:val="single"/>
          <w:lang w:eastAsia="hi-IN" w:bidi="hi-IN"/>
        </w:rPr>
      </w:pPr>
      <w:r w:rsidRPr="00B70883">
        <w:rPr>
          <w:rFonts w:eastAsia="Lucida Sans Unicode"/>
          <w:bCs/>
          <w:kern w:val="2"/>
          <w:sz w:val="28"/>
          <w:szCs w:val="28"/>
          <w:u w:val="single"/>
          <w:lang w:eastAsia="hi-IN" w:bidi="hi-IN"/>
        </w:rPr>
        <w:t>ПРОЕКТ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Default="00B70883" w:rsidP="00842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8A421A">
        <w:rPr>
          <w:sz w:val="28"/>
          <w:szCs w:val="28"/>
        </w:rPr>
        <w:t>.10.2018г.</w:t>
      </w:r>
      <w:r w:rsidR="00B911FA" w:rsidRPr="00493D9F">
        <w:rPr>
          <w:sz w:val="28"/>
          <w:szCs w:val="28"/>
        </w:rPr>
        <w:t xml:space="preserve">    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911FA">
        <w:rPr>
          <w:sz w:val="28"/>
          <w:szCs w:val="28"/>
        </w:rPr>
        <w:t xml:space="preserve">   </w:t>
      </w:r>
      <w:r w:rsidR="00B911FA" w:rsidRPr="00493D9F">
        <w:rPr>
          <w:sz w:val="28"/>
          <w:szCs w:val="28"/>
        </w:rPr>
        <w:t xml:space="preserve">    </w:t>
      </w:r>
      <w:r w:rsidR="00B911FA">
        <w:rPr>
          <w:sz w:val="28"/>
          <w:szCs w:val="28"/>
        </w:rPr>
        <w:t xml:space="preserve">                                                     </w:t>
      </w:r>
      <w:r w:rsidR="00B911FA" w:rsidRPr="00493D9F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</w:t>
      </w:r>
    </w:p>
    <w:p w:rsidR="00B911FA" w:rsidRDefault="00B911FA" w:rsidP="008427FE">
      <w:pPr>
        <w:jc w:val="center"/>
        <w:rPr>
          <w:sz w:val="28"/>
          <w:szCs w:val="28"/>
        </w:rPr>
      </w:pPr>
    </w:p>
    <w:p w:rsidR="00B911FA" w:rsidRPr="000320DC" w:rsidRDefault="00A71823" w:rsidP="008427FE">
      <w:pPr>
        <w:jc w:val="center"/>
        <w:rPr>
          <w:sz w:val="28"/>
          <w:szCs w:val="28"/>
        </w:rPr>
      </w:pPr>
      <w:r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  <w:r w:rsidRPr="000320DC">
        <w:rPr>
          <w:sz w:val="28"/>
          <w:szCs w:val="28"/>
        </w:rPr>
        <w:t xml:space="preserve">Об утверждении </w:t>
      </w:r>
      <w:r w:rsidRPr="000320DC">
        <w:rPr>
          <w:sz w:val="28"/>
          <w:szCs w:val="28"/>
        </w:rPr>
        <w:br/>
        <w:t xml:space="preserve">муниципальной  программы </w:t>
      </w:r>
      <w:r w:rsidRPr="000320DC">
        <w:rPr>
          <w:sz w:val="28"/>
          <w:szCs w:val="28"/>
        </w:rPr>
        <w:br/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  <w:r w:rsidRPr="000320DC">
        <w:rPr>
          <w:sz w:val="28"/>
          <w:szCs w:val="28"/>
        </w:rPr>
        <w:t xml:space="preserve"> «Доступная среда»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28.09.2018г. </w:t>
      </w:r>
      <w:r w:rsidR="00441942">
        <w:rPr>
          <w:bCs/>
          <w:kern w:val="2"/>
          <w:sz w:val="28"/>
          <w:szCs w:val="28"/>
        </w:rPr>
        <w:t xml:space="preserve">№ </w:t>
      </w:r>
      <w:r w:rsidR="008A421A">
        <w:rPr>
          <w:bCs/>
          <w:kern w:val="2"/>
          <w:sz w:val="28"/>
          <w:szCs w:val="28"/>
        </w:rPr>
        <w:t>120/1</w:t>
      </w:r>
      <w:r w:rsidR="00441942">
        <w:rPr>
          <w:bCs/>
          <w:kern w:val="2"/>
          <w:sz w:val="28"/>
          <w:szCs w:val="28"/>
        </w:rPr>
        <w:t xml:space="preserve"> 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B911FA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20D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7" w:history="1">
        <w:r w:rsidRPr="000320D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032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823" w:rsidRPr="000320DC">
        <w:rPr>
          <w:rFonts w:ascii="Times New Roman" w:hAnsi="Times New Roman"/>
          <w:sz w:val="28"/>
          <w:szCs w:val="28"/>
          <w:lang w:val="ru-RU"/>
        </w:rPr>
        <w:t>Кулешовского</w:t>
      </w:r>
      <w:r w:rsidRPr="000320DC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«Доступная среда»</w:t>
      </w:r>
      <w:r w:rsidR="008A421A">
        <w:rPr>
          <w:rFonts w:ascii="Times New Roman" w:hAnsi="Times New Roman"/>
          <w:sz w:val="28"/>
          <w:szCs w:val="28"/>
          <w:lang w:val="ru-RU"/>
        </w:rPr>
        <w:t>, согласно Приложения 1</w:t>
      </w:r>
      <w:r w:rsidRPr="000320DC">
        <w:rPr>
          <w:rFonts w:ascii="Times New Roman" w:hAnsi="Times New Roman"/>
          <w:sz w:val="28"/>
          <w:szCs w:val="28"/>
          <w:lang w:val="ru-RU"/>
        </w:rPr>
        <w:t>.</w:t>
      </w:r>
    </w:p>
    <w:p w:rsidR="008A421A" w:rsidRPr="000320DC" w:rsidRDefault="008A421A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</w:t>
      </w:r>
      <w:r w:rsidR="00F93436">
        <w:rPr>
          <w:rFonts w:ascii="Times New Roman" w:hAnsi="Times New Roman"/>
          <w:sz w:val="28"/>
          <w:szCs w:val="28"/>
          <w:lang w:val="ru-RU"/>
        </w:rPr>
        <w:t xml:space="preserve"> утратившим силу Постановление </w:t>
      </w:r>
      <w:r w:rsidR="00152AB0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Кулешовского сельского поселения</w:t>
      </w:r>
      <w:r w:rsidR="00F93436">
        <w:rPr>
          <w:rFonts w:ascii="Times New Roman" w:hAnsi="Times New Roman"/>
          <w:sz w:val="28"/>
          <w:szCs w:val="28"/>
          <w:lang w:val="ru-RU"/>
        </w:rPr>
        <w:t xml:space="preserve"> от 25.09.2015г. №247.</w:t>
      </w:r>
    </w:p>
    <w:p w:rsidR="00B911FA" w:rsidRPr="000320DC" w:rsidRDefault="00B911FA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20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</w:t>
      </w:r>
      <w:r w:rsidR="000320DC" w:rsidRPr="000320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 дня </w:t>
      </w:r>
      <w:r w:rsidRPr="000320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его официального обнародования, но не ранее 1 января 2019 года</w:t>
      </w:r>
      <w:r w:rsidR="000320DC" w:rsidRPr="000320D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2019 год и на плановый период 2020-2021 год</w:t>
      </w:r>
    </w:p>
    <w:p w:rsidR="00B911FA" w:rsidRPr="000320DC" w:rsidRDefault="00B911FA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20DC">
        <w:rPr>
          <w:rFonts w:ascii="Times New Roman" w:hAnsi="Times New Roman"/>
          <w:sz w:val="28"/>
          <w:szCs w:val="28"/>
          <w:lang w:val="ru-RU"/>
        </w:rPr>
        <w:t>Разместить настоящее постановление в  сети Интернет</w:t>
      </w:r>
      <w:r w:rsidR="00F93436">
        <w:rPr>
          <w:rFonts w:ascii="Times New Roman" w:hAnsi="Times New Roman"/>
          <w:sz w:val="28"/>
          <w:szCs w:val="28"/>
          <w:lang w:val="ru-RU"/>
        </w:rPr>
        <w:t>,</w:t>
      </w:r>
      <w:r w:rsidRPr="000320DC">
        <w:rPr>
          <w:rFonts w:ascii="Times New Roman" w:hAnsi="Times New Roman"/>
          <w:sz w:val="28"/>
          <w:szCs w:val="28"/>
          <w:lang w:val="ru-RU"/>
        </w:rPr>
        <w:t xml:space="preserve">   на официальном  сайте Администрации </w:t>
      </w:r>
      <w:r w:rsidR="000320DC" w:rsidRPr="000320DC">
        <w:rPr>
          <w:rFonts w:ascii="Times New Roman" w:hAnsi="Times New Roman"/>
          <w:sz w:val="28"/>
          <w:szCs w:val="28"/>
          <w:lang w:val="ru-RU"/>
        </w:rPr>
        <w:t>Кулешовского</w:t>
      </w:r>
      <w:r w:rsidRPr="000320DC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B911FA" w:rsidRDefault="00B911FA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P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0320DC" w:rsidRDefault="00B911FA" w:rsidP="0007787D">
      <w:pPr>
        <w:pStyle w:val="a3"/>
        <w:rPr>
          <w:szCs w:val="28"/>
        </w:rPr>
      </w:pPr>
    </w:p>
    <w:p w:rsidR="00A71823" w:rsidRDefault="00A71823" w:rsidP="001133CF">
      <w:pPr>
        <w:rPr>
          <w:sz w:val="28"/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8A421A" w:rsidRDefault="008A421A" w:rsidP="008A421A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8A421A" w:rsidP="008A421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B70883">
        <w:rPr>
          <w:sz w:val="28"/>
          <w:szCs w:val="28"/>
        </w:rPr>
        <w:t>____</w:t>
      </w:r>
      <w:r w:rsidR="00F93436">
        <w:rPr>
          <w:sz w:val="28"/>
          <w:szCs w:val="28"/>
        </w:rPr>
        <w:t xml:space="preserve">.10.2018г. </w:t>
      </w:r>
      <w:r>
        <w:rPr>
          <w:sz w:val="28"/>
          <w:szCs w:val="28"/>
        </w:rPr>
        <w:t xml:space="preserve"> № </w:t>
      </w:r>
      <w:r w:rsidR="00B70883">
        <w:rPr>
          <w:sz w:val="28"/>
          <w:szCs w:val="28"/>
        </w:rPr>
        <w:t>_____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</w:t>
            </w:r>
            <w:r w:rsidRPr="00AA2F31">
              <w:rPr>
                <w:sz w:val="28"/>
                <w:szCs w:val="28"/>
              </w:rPr>
              <w:lastRenderedPageBreak/>
              <w:t xml:space="preserve">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7208C8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441942">
              <w:rPr>
                <w:sz w:val="28"/>
              </w:rPr>
              <w:t>20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441942">
              <w:rPr>
                <w:sz w:val="28"/>
              </w:rPr>
              <w:t>20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441942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464A37" w:rsidRDefault="00464A37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lastRenderedPageBreak/>
              <w:t xml:space="preserve">Паспорт подпрограммы </w:t>
            </w:r>
            <w:r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7208C8">
                    <w:rPr>
                      <w:sz w:val="28"/>
                    </w:rPr>
                    <w:t>240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>
                    <w:rPr>
                      <w:sz w:val="28"/>
                    </w:rPr>
                    <w:t>20,0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2020 год – </w:t>
                  </w:r>
                  <w:r>
                    <w:rPr>
                      <w:sz w:val="28"/>
                    </w:rPr>
                    <w:t>20,0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2021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2022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2023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2024год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 xml:space="preserve">2026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>
                    <w:rPr>
                      <w:sz w:val="28"/>
                    </w:rPr>
                    <w:t>20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7208C8" w:rsidRDefault="007208C8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7208C8" w:rsidRDefault="007208C8" w:rsidP="007208C8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208C8" w:rsidRDefault="007208C8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7208C8" w:rsidRDefault="007208C8" w:rsidP="007208C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B70883">
        <w:rPr>
          <w:sz w:val="28"/>
          <w:szCs w:val="28"/>
        </w:rPr>
        <w:t>_____</w:t>
      </w:r>
      <w:r w:rsidR="005A7001">
        <w:rPr>
          <w:sz w:val="28"/>
          <w:szCs w:val="28"/>
        </w:rPr>
        <w:t xml:space="preserve">.10.2018г. </w:t>
      </w:r>
      <w:r>
        <w:rPr>
          <w:sz w:val="28"/>
          <w:szCs w:val="28"/>
        </w:rPr>
        <w:t>№</w:t>
      </w:r>
      <w:r w:rsidR="00B7088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7208C8" w:rsidRDefault="00E602FB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7208C8">
        <w:rPr>
          <w:sz w:val="28"/>
          <w:szCs w:val="28"/>
        </w:rPr>
        <w:t>остановлению</w:t>
      </w:r>
    </w:p>
    <w:p w:rsidR="007208C8" w:rsidRDefault="007208C8" w:rsidP="007208C8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208C8" w:rsidRDefault="007208C8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7208C8" w:rsidP="00E602FB">
      <w:pPr>
        <w:ind w:left="581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от   </w:t>
      </w:r>
      <w:r w:rsidR="00B70883">
        <w:rPr>
          <w:sz w:val="28"/>
          <w:szCs w:val="28"/>
        </w:rPr>
        <w:t>_____</w:t>
      </w:r>
      <w:r w:rsidR="005A7001">
        <w:rPr>
          <w:sz w:val="28"/>
          <w:szCs w:val="28"/>
        </w:rPr>
        <w:t xml:space="preserve">.10.2018г. </w:t>
      </w:r>
      <w:r>
        <w:rPr>
          <w:sz w:val="28"/>
          <w:szCs w:val="28"/>
        </w:rPr>
        <w:t>№</w:t>
      </w:r>
      <w:r w:rsidR="00B7088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br w:type="page"/>
      </w:r>
      <w:r w:rsidR="007208C8"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4</w:t>
      </w:r>
    </w:p>
    <w:p w:rsidR="007208C8" w:rsidRDefault="007208C8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7208C8" w:rsidRDefault="007208C8" w:rsidP="007208C8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208C8" w:rsidRDefault="007208C8" w:rsidP="007208C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7208C8" w:rsidP="007208C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B70883">
        <w:rPr>
          <w:sz w:val="28"/>
          <w:szCs w:val="28"/>
        </w:rPr>
        <w:t>______</w:t>
      </w:r>
      <w:r w:rsidR="005A7001">
        <w:rPr>
          <w:sz w:val="28"/>
          <w:szCs w:val="28"/>
        </w:rPr>
        <w:t xml:space="preserve">.10.2018г. </w:t>
      </w:r>
      <w:r>
        <w:rPr>
          <w:sz w:val="28"/>
          <w:szCs w:val="28"/>
        </w:rPr>
        <w:t xml:space="preserve"> № </w:t>
      </w:r>
      <w:r w:rsidR="00B70883">
        <w:rPr>
          <w:sz w:val="28"/>
          <w:szCs w:val="28"/>
        </w:rPr>
        <w:t>________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774221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DA65E5" w:rsidRPr="00A062D9" w:rsidRDefault="00DA65E5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DA65E5" w:rsidRPr="00A062D9" w:rsidRDefault="00DA65E5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FE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2F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2FEB" w:rsidRPr="000C137E" w:rsidRDefault="00712FE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2FEB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712FEB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712FEB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2FEB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2FEB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2FEB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2FEB" w:rsidRPr="00A062D9" w:rsidRDefault="00712FE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E3A5C" w:rsidRPr="000C137E" w:rsidRDefault="004E3A5C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4E3A5C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4E3A5C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4E3A5C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4E3A5C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4E3A5C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2894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4" w:rsidRDefault="00D02894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E3A5C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4E3A5C" w:rsidRPr="002331AF" w:rsidRDefault="004E3A5C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4E3A5C" w:rsidRPr="00A062D9" w:rsidRDefault="004E3A5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4E3A5C" w:rsidRPr="00A062D9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4E3A5C" w:rsidRPr="00A062D9" w:rsidRDefault="004E3A5C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4E3A5C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E3A5C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E3A5C" w:rsidRPr="00493D9F" w:rsidRDefault="004E3A5C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4E3A5C" w:rsidRDefault="004E3A5C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4E3A5C" w:rsidRDefault="004E3A5C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4E3A5C" w:rsidRPr="00A062D9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A5C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E3A5C" w:rsidRPr="00493D9F" w:rsidRDefault="004E3A5C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4E3A5C" w:rsidRDefault="004E3A5C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4E3A5C" w:rsidRPr="00A062D9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A5C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E3A5C" w:rsidRPr="00493D9F" w:rsidRDefault="004E3A5C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4E3A5C" w:rsidRDefault="004E3A5C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3A5C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4E3A5C" w:rsidRPr="00A062D9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53A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B8553A" w:rsidRPr="00A062D9" w:rsidRDefault="00B8553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553A" w:rsidRPr="00493D9F" w:rsidRDefault="00B8553A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B8553A" w:rsidRDefault="00B8553A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B8553A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B8553A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B8553A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553A" w:rsidRPr="00A062D9" w:rsidRDefault="00B8553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B8553A" w:rsidRPr="00A062D9" w:rsidRDefault="00B8553A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B8553A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B8553A" w:rsidRPr="00A062D9" w:rsidRDefault="00B8553A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E3A5C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4E3A5C" w:rsidRPr="00A062D9" w:rsidRDefault="004E3A5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4E3A5C" w:rsidRPr="00493D9F" w:rsidRDefault="004E3A5C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4E3A5C" w:rsidRDefault="004E3A5C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4E3A5C" w:rsidRPr="00A062D9" w:rsidRDefault="004E3A5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E3A5C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E3A5C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AA1C1D" w:rsidRPr="00493D9F" w:rsidRDefault="00AA1C1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AA1C1D" w:rsidRPr="00A062D9" w:rsidRDefault="00AA1C1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AA1C1D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AA1C1D" w:rsidRPr="00A062D9" w:rsidRDefault="00AA1C1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A1C1D" w:rsidRPr="00493D9F" w:rsidRDefault="00AA1C1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A1C1D" w:rsidRDefault="00AA1C1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AA1C1D" w:rsidRDefault="00AA1C1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A1C1D" w:rsidRPr="00493D9F" w:rsidRDefault="00AA1C1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A1C1D" w:rsidRDefault="00AA1C1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A1C1D" w:rsidRPr="00493D9F" w:rsidRDefault="00AA1C1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A1C1D" w:rsidRDefault="00AA1C1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4221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774221" w:rsidRPr="00A062D9" w:rsidRDefault="00774221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74221" w:rsidRPr="00493D9F" w:rsidRDefault="00774221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74221" w:rsidRDefault="00774221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572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5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74221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74221" w:rsidRPr="00A062D9" w:rsidRDefault="00774221" w:rsidP="00C8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AA1C1D" w:rsidRPr="00A062D9" w:rsidRDefault="00AA1C1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A1C1D" w:rsidRPr="00493D9F" w:rsidRDefault="00AA1C1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AA1C1D" w:rsidRDefault="00AA1C1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AA1C1D" w:rsidRPr="00A062D9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A1C1D" w:rsidRDefault="0077422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B70883" w:rsidRDefault="00B70883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602FB" w:rsidRPr="00D71398" w:rsidRDefault="00E602FB" w:rsidP="00E602FB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5</w:t>
      </w:r>
    </w:p>
    <w:p w:rsidR="00E602FB" w:rsidRDefault="00E602FB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602FB" w:rsidRDefault="00E602FB" w:rsidP="00E602FB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02FB" w:rsidRDefault="00E602FB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E602FB" w:rsidRDefault="00E602FB" w:rsidP="00E602FB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B70883">
        <w:rPr>
          <w:sz w:val="28"/>
          <w:szCs w:val="28"/>
        </w:rPr>
        <w:t>_____</w:t>
      </w:r>
      <w:r w:rsidR="005A7001">
        <w:rPr>
          <w:sz w:val="28"/>
          <w:szCs w:val="28"/>
        </w:rPr>
        <w:t xml:space="preserve">.12.2018г. </w:t>
      </w:r>
      <w:r>
        <w:rPr>
          <w:sz w:val="28"/>
          <w:szCs w:val="28"/>
        </w:rPr>
        <w:t xml:space="preserve">№ </w:t>
      </w:r>
      <w:r w:rsidR="00B70883">
        <w:rPr>
          <w:sz w:val="28"/>
          <w:szCs w:val="28"/>
        </w:rPr>
        <w:t>________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835FC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0B6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3810B6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3810B6" w:rsidRDefault="003810B6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3810B6" w:rsidRPr="000F412F" w:rsidRDefault="003810B6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10B6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B911FA" w:rsidP="00E602FB">
      <w:pPr>
        <w:rPr>
          <w:sz w:val="28"/>
          <w:szCs w:val="28"/>
        </w:rPr>
      </w:pPr>
      <w:r w:rsidRPr="0042671E"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2671E">
        <w:rPr>
          <w:sz w:val="28"/>
          <w:szCs w:val="28"/>
        </w:rPr>
        <w:t xml:space="preserve">     </w:t>
      </w:r>
    </w:p>
    <w:p w:rsidR="00B911FA" w:rsidRPr="00A27141" w:rsidRDefault="00B911FA" w:rsidP="00A27141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94" w:rsidRDefault="00FE7094">
      <w:r>
        <w:separator/>
      </w:r>
    </w:p>
  </w:endnote>
  <w:endnote w:type="continuationSeparator" w:id="0">
    <w:p w:rsidR="00FE7094" w:rsidRDefault="00FE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B" w:rsidRDefault="00BD575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2F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2FEB" w:rsidRDefault="00712FEB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B" w:rsidRDefault="00BD575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2F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0883">
      <w:rPr>
        <w:rStyle w:val="ac"/>
        <w:noProof/>
      </w:rPr>
      <w:t>14</w:t>
    </w:r>
    <w:r>
      <w:rPr>
        <w:rStyle w:val="ac"/>
      </w:rPr>
      <w:fldChar w:fldCharType="end"/>
    </w:r>
  </w:p>
  <w:p w:rsidR="00712FEB" w:rsidRPr="00822128" w:rsidRDefault="00712FEB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B" w:rsidRDefault="00BD5759" w:rsidP="00B93867">
    <w:pPr>
      <w:pStyle w:val="a8"/>
      <w:jc w:val="right"/>
    </w:pPr>
    <w:fldSimple w:instr="PAGE   \* MERGEFORMAT">
      <w:r w:rsidR="00712F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94" w:rsidRDefault="00FE7094">
      <w:r>
        <w:separator/>
      </w:r>
    </w:p>
  </w:footnote>
  <w:footnote w:type="continuationSeparator" w:id="0">
    <w:p w:rsidR="00FE7094" w:rsidRDefault="00FE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7496F"/>
    <w:rsid w:val="00290E43"/>
    <w:rsid w:val="002A4215"/>
    <w:rsid w:val="002A669C"/>
    <w:rsid w:val="002B61C5"/>
    <w:rsid w:val="002C1657"/>
    <w:rsid w:val="002D0DF4"/>
    <w:rsid w:val="002E1E1B"/>
    <w:rsid w:val="002E26A1"/>
    <w:rsid w:val="002E48B9"/>
    <w:rsid w:val="002E7957"/>
    <w:rsid w:val="002F048A"/>
    <w:rsid w:val="002F6032"/>
    <w:rsid w:val="003013C4"/>
    <w:rsid w:val="00311586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E027F"/>
    <w:rsid w:val="003E3823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81010"/>
    <w:rsid w:val="005812E7"/>
    <w:rsid w:val="005868E4"/>
    <w:rsid w:val="00590EA1"/>
    <w:rsid w:val="005A7001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D7CD2"/>
    <w:rsid w:val="006F2FB1"/>
    <w:rsid w:val="006F3D00"/>
    <w:rsid w:val="006F4289"/>
    <w:rsid w:val="00712FEB"/>
    <w:rsid w:val="007208C8"/>
    <w:rsid w:val="00727966"/>
    <w:rsid w:val="00732ED1"/>
    <w:rsid w:val="0073434A"/>
    <w:rsid w:val="00746EC1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36A7"/>
    <w:rsid w:val="00917E35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70883"/>
    <w:rsid w:val="00B82EA0"/>
    <w:rsid w:val="00B8553A"/>
    <w:rsid w:val="00B911FA"/>
    <w:rsid w:val="00B93867"/>
    <w:rsid w:val="00B9485B"/>
    <w:rsid w:val="00BD2DA1"/>
    <w:rsid w:val="00BD5759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EA6"/>
    <w:rsid w:val="00C7185A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B253C"/>
    <w:rsid w:val="00ED0C33"/>
    <w:rsid w:val="00ED36C9"/>
    <w:rsid w:val="00EE014D"/>
    <w:rsid w:val="00F03712"/>
    <w:rsid w:val="00F03AD5"/>
    <w:rsid w:val="00F06554"/>
    <w:rsid w:val="00F112D3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E7094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A1AB23F3911FE3B751184A5E6A3FEB41B31047C0FCDE6958F7F0500FD853B06739DAB6531556D3B7A9DTA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</cp:revision>
  <cp:lastPrinted>2018-12-04T13:04:00Z</cp:lastPrinted>
  <dcterms:created xsi:type="dcterms:W3CDTF">2018-12-07T12:54:00Z</dcterms:created>
  <dcterms:modified xsi:type="dcterms:W3CDTF">2018-12-07T12:54:00Z</dcterms:modified>
</cp:coreProperties>
</file>