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ПРАВИТЕЛЬСТВО РОСТОВСКОЙ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05.04.2020 № 272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Ростов-на-Дону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27.03.2020 № 762-р, постановлениями Главного государственного санитарного врача Российской Федерации от 24.01.2020 № 2, от 31.01.2020 № 3, от 02.03.2020 № 5, от 13.03.2020 № 6, от 18.03.2020 № 7, от 30.03.2020 № 9, предложениями Главного санитарного врача по Ростовской области от 26.03.2020 № 1/3653, от 03.04.2020 № 1/4284, распоряжением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во исполнение поручения Председателя Правительства Российской Федерации  от 26.03.2020 № ММ-П12-2363кв Правительство Ростовской области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Временно приостановить на территории Ростовской области: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 Работу букмекерских контор, тотализаторов и их пунктов приема ставок.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 Оказание гостиничных услуг.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 Работу библиотек.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1.11. Осуществление личного приема граждан в органах государственной власти Ростовской области, органах местного самоуправления и подведомственных им учреждениях и предприятиях.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Временно запретить на территории Ростовской области: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 использования объектов животного мира и среды их обитания, производственный охотничий контроль (с целью патрулирования).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 Курение кальянов в общественных местах.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Обязать: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 Граждан, за исключением граждан, указанных в подпункте 3.2 настоящего пункта, не покидать места проживания (пребывания), за исключением случаев: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обращения за экстренной (неотложной) медицинской помощью и случаев иной прямой угрозы жизни и здоровью;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 возрасте старше 65 лет или имеющими хронические заболевания, указанные в приложении № 2 к настоящему постановлению;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доставки продовольственных товаров и (или) непродовольственных товаров первой необходимости, указанных в приложении № 1 к настоящему постановлению, близким родственникам в возрасте старше 65 лет или имеющим хронические заболевания, указанные в приложении № 2 к настоящему постановлению;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 Следование к месту (от 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 приложению № 3 к настоящему постановлению;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следования к ближайшему месту приобретения товаров, работ, услуг, реализация которых не ограничена в соответствии с настоящим постановлением.  К ближайшему месту приобретения товаров, работ, услуг также относится ближайший розничный рынок;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выгула домашних животных на расстоянии, не превышающем 100 метров от места проживания (пребывания);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выноса отходов до ближайшего места накопления отходов.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обращения за экстренной (неотложной) медицинской помощью и случаев иной прямой угрозы жизни и здоровью;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выгула домашних животных на расстоянии, не превышающем 100 метров от места проживания (пребывания);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выноса отходов до ближайшего места накопления отходов.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 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 Депутатов, их помощников.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 Членов избирательных комиссий.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 Добровольцев (волонтеров).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организации, осуществляющие неотложные ремонтные и погрузочно-разгрузочные работы.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 Работников здравоохранения.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4.7. Граждан, определенных решением Оперативного штаба по координации деятельности по предупреждению завоза и распространения новой коронавирусной инфекции на территории Ростовской области.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Лица, указанные в подпунктах 4.1 – 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 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Обязать граждан, прибывших на территорию Российской Федерации из иностранных государств: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в Ростовской области по номерам телефонов: 8-800-200-46-53, 8 (863) 285-05-43;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 4 по 12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с 4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 Обязать всех работодателей, осуществляющих деятельность на территории Ростовской области: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незамедлительно представлять информацию обо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 совершения.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 территории Ростовской области.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межмуниципальным маршрутам регулярных перевозок Ростовской области;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муниципальным маршрутам регулярных перевозок.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 Министерству здравоохранения Ростовской области (Быковская Т.Ю.):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17.1. В случае ухудшения эпидемиологической ситуации провести подготовительные мероприятия и обеспечить в течение 10 дней перевод в режим полной готовности системы здравоохранения Ростовской области.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 Главам администраций городских округов и муниципальных районов в Ростовской области: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проинформировать граждан старше 65 лет о контактных данных (Ф.И.О., телефон) лица, его сопровождающего;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 3.2 пункта 3, пунктами 5, 11 настоящего постановления.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 Справки, выданные работодателями в соответствии с распоряжением Губернатора Ростовской области от 27.03.2020 № 60 «О дополнительных мерах по предотвращению распространения новой коронавирусной инфекции (2019-nCoV)» (в редакции распоряжения Губернатора Ростовской области от 01.04.2020 № 67) являются действующими.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 В целях настоящего постановления к организациям приравниваются индивидуальные предприниматели.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 Настоящее постановление вступает в силу со дня его официального опубликования.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 Контроль за выполнением настоящего постановления оставляю за собой.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Ростовской области                                                                         В.Ю. Голубев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вносит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правовое управление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Губернаторе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1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постановлению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05.04.2020 № 272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непродовольственных товаров первой необходимости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Медицинские изделия и дезинфицирующие средства (код ОКПД: 21.20.24.130 – 21.20.24.133; 21.20.24.140 – 21.20.24.170).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Инструменты и оборудование медицинские (код ОКПД: 32.50.1 – 32.50.50).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Бытовая химия (код ОКПД: 20.41.3).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Щетка зубная, щетка для волос.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Спички, коробок.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Свечи.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 Бутылочка для кормления.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 Соска-пустышка.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 Бензин автомобильный.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 Дизельное топливо.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 Сжиженный природный газ.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 Зоотовары (включая корма для животных и ветеринарные препараты).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 Печатная продукция средств массовой информации.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 Табак и табачные изделия (код ОКПД: 12.00.11; 12.00.19).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Коды ОКПД приведены в соответствии с Общероссийским классификатором продукции по видам экономической деятельности</w:t>
        <w:br w:type="textWrapping"/>
        <w:t xml:space="preserve">ОК 034-2014 (КПЕС 2008).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Ростовской области                                              Т.А. Родионченко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2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постановлению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05.04.2020 № 272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заболеваний, требующих соблюдения режима самоизоляции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Болезни органов дыхания из числа: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 Другая хроническая обструктивная легочная болезнь, классифицируемая в соответствии с МКБ-10 по диагнозу J44.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 Астма, классифицируемая в соответствии с МКБ-10 по диагнозу J45.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 Бронхоэктатическая болезнь, классифицируемая в соответствии с МКБ-10 по диагнозу J47.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Наличие трансплантированных органов и тканей, классифицируемых в соответствии с МКБ-10 по диагнозу Z94.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Болезнь мочеполовой системы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хроническая болезнь почек 3 – 5 стадии, классифицируемая в соответствии с МКБ-10 по диагнозам № 18.0, 18.3 – 18.5.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Новообразования из числа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 Злокачественные новообразования любой локализации,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том числе самостоятельные множественные локализации, классифицируемые в соответствии с МКБ-10 по диагнозам С00-С80, С97.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 Острые лейкозы, высокозлокачественные 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классифицируемые в соответствии с МКБ-10 по диагнозам С81-С96, D46.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При режиме самоизоляции допускается посещение медицинской организации по поводу основного заболевания.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 Самоизоляция не распространяется на пациентов, отнесенных к третьей клинической группе (в онкологии).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Ростовской области                                              Т.А. Родионченко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постановлению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Ростовской области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05.04.2020 № 272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(формат А5)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 работника)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655.0" w:type="dxa"/>
        <w:jc w:val="left"/>
        <w:tblInd w:w="0.0" w:type="dxa"/>
        <w:tblLayout w:type="fixed"/>
        <w:tblLook w:val="0000"/>
      </w:tblPr>
      <w:tblGrid>
        <w:gridCol w:w="4819"/>
        <w:gridCol w:w="4836"/>
        <w:tblGridChange w:id="0">
          <w:tblGrid>
            <w:gridCol w:w="4819"/>
            <w:gridCol w:w="4836"/>
          </w:tblGrid>
        </w:tblGridChange>
      </w:tblGrid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регистрации по месту жительства (месту пребывания)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(Ф.И.О. индивидуального предпринимателя)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нахождения работодателя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деятельности работодателя (по отрасли)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данные работодателя (телефон, адрес электронной почты)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работника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осуществления деятельности работника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График работы работника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Borders>
              <w:top w:color="d1d7e1" w:space="0" w:sz="6" w:val="single"/>
              <w:bottom w:color="d1d7e1" w:space="0" w:sz="6" w:val="single"/>
            </w:tcBorders>
            <w:tcMar>
              <w:top w:w="225.0" w:type="dxa"/>
              <w:left w:w="150.0" w:type="dxa"/>
              <w:bottom w:w="22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51" w:right="0" w:firstLine="85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____________________               _____________________________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                      (подпись)                                                                     (Ф.И.О.)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 20 ___ г.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 (при наличии)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должна содержать дату ее выдачи.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управления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документационного обеспечения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Ростовской области                                              Т.А. Родионченко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43" w:top="125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