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4" w:rsidRPr="001B7A28" w:rsidRDefault="00907604" w:rsidP="00D74B12">
      <w:pPr>
        <w:spacing w:before="54" w:line="412" w:lineRule="auto"/>
        <w:jc w:val="right"/>
        <w:rPr>
          <w:b/>
          <w:bCs/>
          <w:sz w:val="32"/>
          <w:szCs w:val="32"/>
          <w:lang w:val="ru-RU"/>
        </w:rPr>
      </w:pPr>
      <w:r w:rsidRPr="001B7A28">
        <w:rPr>
          <w:b/>
          <w:bCs/>
          <w:sz w:val="32"/>
          <w:szCs w:val="32"/>
          <w:lang w:val="ru-RU"/>
        </w:rPr>
        <w:t>ПРОЕКТ</w:t>
      </w:r>
    </w:p>
    <w:p w:rsidR="00907604" w:rsidRDefault="00907604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АДМИНИСТРАЦИЯ АЗОВСКОГО РАЙОНА</w:t>
      </w:r>
    </w:p>
    <w:p w:rsid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ПОСТАНОВЛЕНИЕ</w:t>
      </w:r>
    </w:p>
    <w:p w:rsidR="00907604" w:rsidRP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№</w:t>
      </w:r>
      <w:r w:rsidR="00AC3460">
        <w:rPr>
          <w:sz w:val="28"/>
          <w:szCs w:val="28"/>
          <w:lang w:val="ru-RU"/>
        </w:rPr>
        <w:t xml:space="preserve"> 144/1</w:t>
      </w:r>
    </w:p>
    <w:p w:rsidR="00AC3460" w:rsidRDefault="000E137A" w:rsidP="00AC34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AC3460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AC3460">
        <w:rPr>
          <w:sz w:val="28"/>
          <w:szCs w:val="28"/>
          <w:lang w:val="ru-RU"/>
        </w:rPr>
        <w:t xml:space="preserve"> 22 октября </w:t>
      </w:r>
      <w:r w:rsidR="00AC3460" w:rsidRPr="00A62605">
        <w:rPr>
          <w:sz w:val="28"/>
          <w:szCs w:val="28"/>
          <w:lang w:val="ru-RU"/>
        </w:rPr>
        <w:t>201</w:t>
      </w:r>
      <w:r w:rsidR="00AC3460">
        <w:rPr>
          <w:sz w:val="28"/>
          <w:szCs w:val="28"/>
          <w:lang w:val="ru-RU"/>
        </w:rPr>
        <w:t>9</w:t>
      </w:r>
      <w:r w:rsidR="00AC3460" w:rsidRPr="00A62605">
        <w:rPr>
          <w:sz w:val="28"/>
          <w:szCs w:val="28"/>
          <w:lang w:val="ru-RU"/>
        </w:rPr>
        <w:t xml:space="preserve">г. </w:t>
      </w:r>
      <w:r w:rsidR="00AC3460">
        <w:rPr>
          <w:sz w:val="28"/>
          <w:szCs w:val="28"/>
          <w:lang w:val="ru-RU"/>
        </w:rPr>
        <w:t xml:space="preserve">                                                                           с.Кулешовка.</w:t>
      </w:r>
    </w:p>
    <w:p w:rsidR="00907604" w:rsidRPr="00A62605" w:rsidRDefault="00AC3460" w:rsidP="00DD0C0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:rsidR="00907604" w:rsidRPr="00A62605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907604" w:rsidRPr="00A62605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Азовского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A62605">
        <w:rPr>
          <w:b/>
          <w:bCs/>
          <w:sz w:val="28"/>
          <w:szCs w:val="28"/>
          <w:lang w:val="ru-RU"/>
        </w:rPr>
        <w:t xml:space="preserve"> – 202</w:t>
      </w:r>
      <w:r>
        <w:rPr>
          <w:b/>
          <w:bCs/>
          <w:sz w:val="28"/>
          <w:szCs w:val="28"/>
          <w:lang w:val="ru-RU"/>
        </w:rPr>
        <w:t>2</w:t>
      </w:r>
      <w:r w:rsidRPr="00A62605">
        <w:rPr>
          <w:b/>
          <w:bCs/>
          <w:sz w:val="28"/>
          <w:szCs w:val="28"/>
          <w:lang w:val="ru-RU"/>
        </w:rPr>
        <w:t xml:space="preserve"> годы</w:t>
      </w:r>
    </w:p>
    <w:p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Решения </w:t>
      </w:r>
      <w:r w:rsidR="00295671">
        <w:rPr>
          <w:sz w:val="28"/>
          <w:szCs w:val="28"/>
          <w:lang w:val="ru-RU"/>
        </w:rPr>
        <w:t xml:space="preserve"> собрания  депутатов  Кулешовского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295671">
        <w:rPr>
          <w:sz w:val="28"/>
          <w:szCs w:val="28"/>
          <w:lang w:val="ru-RU"/>
        </w:rPr>
        <w:t>27.12</w:t>
      </w:r>
      <w:r w:rsidRPr="00A62605">
        <w:rPr>
          <w:sz w:val="28"/>
          <w:szCs w:val="28"/>
          <w:lang w:val="ru-RU"/>
        </w:rPr>
        <w:t>.201</w:t>
      </w:r>
      <w:r w:rsidR="00295671">
        <w:rPr>
          <w:sz w:val="28"/>
          <w:szCs w:val="28"/>
          <w:lang w:val="ru-RU"/>
        </w:rPr>
        <w:t>8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295671">
        <w:rPr>
          <w:sz w:val="28"/>
          <w:szCs w:val="28"/>
          <w:lang w:val="ru-RU"/>
        </w:rPr>
        <w:t>127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295671">
        <w:rPr>
          <w:sz w:val="28"/>
          <w:szCs w:val="28"/>
          <w:lang w:val="ru-RU"/>
        </w:rPr>
        <w:t>Кулешовском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администрации </w:t>
      </w:r>
      <w:r w:rsidR="00295671">
        <w:rPr>
          <w:sz w:val="28"/>
          <w:szCs w:val="28"/>
          <w:lang w:val="ru-RU"/>
        </w:rPr>
        <w:t xml:space="preserve">Кулешовского сельского поселения </w:t>
      </w:r>
      <w:r w:rsidR="00812903">
        <w:rPr>
          <w:sz w:val="28"/>
          <w:szCs w:val="28"/>
          <w:lang w:val="ru-RU"/>
        </w:rPr>
        <w:t>Азовского района  от 14</w:t>
      </w:r>
      <w:r w:rsidRPr="00A62605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A62605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Pr="00A62605">
        <w:rPr>
          <w:sz w:val="28"/>
          <w:szCs w:val="28"/>
          <w:lang w:val="ru-RU"/>
        </w:rPr>
        <w:t xml:space="preserve"> № </w:t>
      </w:r>
      <w:r w:rsidR="00812903">
        <w:rPr>
          <w:sz w:val="28"/>
          <w:szCs w:val="28"/>
          <w:lang w:val="ru-RU"/>
        </w:rPr>
        <w:t>79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20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A62605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годов» </w:t>
      </w:r>
      <w:r>
        <w:rPr>
          <w:sz w:val="28"/>
          <w:szCs w:val="28"/>
          <w:lang w:val="ru-RU"/>
        </w:rPr>
        <w:t xml:space="preserve">Администрация </w:t>
      </w:r>
      <w:r w:rsidR="0081290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Утвердить основные направления бюджетной и налоговой политики Азовского района на 20</w:t>
      </w:r>
      <w:r>
        <w:rPr>
          <w:sz w:val="28"/>
          <w:szCs w:val="28"/>
          <w:lang w:val="ru-RU"/>
        </w:rPr>
        <w:t>20</w:t>
      </w:r>
      <w:r w:rsidRPr="00A62605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годы согласно приложению.</w:t>
      </w:r>
    </w:p>
    <w:p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Заведующей сектором экономики и финансов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Азовского района на основе основных направлений бюджетной политики и основных направлений налоговой политики Азовского района на 20</w:t>
      </w:r>
      <w:r w:rsidR="00907604">
        <w:rPr>
          <w:sz w:val="28"/>
          <w:szCs w:val="28"/>
          <w:lang w:val="ru-RU"/>
        </w:rPr>
        <w:t>20</w:t>
      </w:r>
      <w:r w:rsidR="00907604" w:rsidRPr="00A62605">
        <w:rPr>
          <w:sz w:val="28"/>
          <w:szCs w:val="28"/>
          <w:lang w:val="ru-RU"/>
        </w:rPr>
        <w:t xml:space="preserve"> – 20</w:t>
      </w:r>
      <w:r w:rsidR="00907604">
        <w:rPr>
          <w:sz w:val="28"/>
          <w:szCs w:val="28"/>
          <w:lang w:val="ru-RU"/>
        </w:rPr>
        <w:t>22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годы.</w:t>
      </w:r>
    </w:p>
    <w:p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907604" w:rsidRPr="00A62605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О.В.Клюквина.</w:t>
      </w:r>
    </w:p>
    <w:p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:rsidR="00907604" w:rsidRPr="00A62605" w:rsidRDefault="00DE2DBB" w:rsidP="00DE2DBB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к постановлению</w:t>
      </w:r>
    </w:p>
    <w:p w:rsidR="00DE2DBB" w:rsidRDefault="00907604" w:rsidP="00D74B12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администрации </w:t>
      </w:r>
      <w:r w:rsidR="00DE2DBB">
        <w:rPr>
          <w:sz w:val="28"/>
          <w:szCs w:val="28"/>
          <w:lang w:val="ru-RU"/>
        </w:rPr>
        <w:t xml:space="preserve">Кулешовского </w:t>
      </w:r>
    </w:p>
    <w:p w:rsidR="00907604" w:rsidRPr="00A62605" w:rsidRDefault="00DE2DBB" w:rsidP="00DE2DBB">
      <w:pPr>
        <w:pStyle w:val="a3"/>
        <w:spacing w:before="7" w:line="314" w:lineRule="exact"/>
        <w:ind w:left="0" w:firstLine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22.10</w:t>
      </w:r>
      <w:r w:rsidR="00907604">
        <w:rPr>
          <w:sz w:val="28"/>
          <w:szCs w:val="28"/>
          <w:lang w:val="ru-RU"/>
        </w:rPr>
        <w:t>.2019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144/1</w:t>
      </w:r>
    </w:p>
    <w:p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907604" w:rsidRPr="00903225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  <w:r w:rsidR="00907604" w:rsidRPr="00903225">
        <w:rPr>
          <w:b/>
          <w:bCs/>
          <w:sz w:val="28"/>
          <w:szCs w:val="28"/>
          <w:lang w:val="ru-RU"/>
        </w:rPr>
        <w:t xml:space="preserve"> на 2020 – 2022 годы</w:t>
      </w:r>
    </w:p>
    <w:p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 от 07.05.2012 N 597 "О мероприятиях по реализации государственной социальной политики", от 01.06.2012 N 761 "О Национальной стратегии действий в интересах детей на 2012 - 2017 годы", от 28.12.2012 N 1688 "О некоторых мерах по реализации государственной политики в сфере защиты детей-сирот и детей, оставшихся без попечения родителей" и от 07.05.2018 N 204 "О национальных целях и стратегических задачах развития Российской Федерации на период до 2024 года", Основных направлений бюджетной, налоговой политики Российской Федерации на 2020 год и на пл</w:t>
      </w:r>
      <w:r w:rsidR="00037382">
        <w:rPr>
          <w:sz w:val="28"/>
          <w:szCs w:val="28"/>
          <w:lang w:val="ru-RU"/>
        </w:rPr>
        <w:t>ановый период 2021 и 2022 годов, Постановления Правительства Ростовской области от 24.10.2019г. №764.</w:t>
      </w:r>
    </w:p>
    <w:p w:rsidR="00EE6322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>
        <w:rPr>
          <w:sz w:val="28"/>
          <w:szCs w:val="28"/>
          <w:lang w:val="ru-RU"/>
        </w:rPr>
        <w:t>администрацией</w:t>
      </w:r>
      <w:r w:rsidR="00DE2DBB">
        <w:rPr>
          <w:sz w:val="28"/>
          <w:szCs w:val="28"/>
          <w:lang w:val="ru-RU"/>
        </w:rPr>
        <w:t xml:space="preserve"> Кулешовского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7369AC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 xml:space="preserve">, решение первоочередных задач,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>Положительная динамика развития отмечается ростом основных показателей по доходам и расходам</w:t>
      </w:r>
      <w:r>
        <w:rPr>
          <w:sz w:val="28"/>
          <w:szCs w:val="28"/>
          <w:lang w:val="ru-RU"/>
        </w:rPr>
        <w:t xml:space="preserve"> консолидированного</w:t>
      </w:r>
      <w:r w:rsidRPr="00776CF2">
        <w:rPr>
          <w:sz w:val="28"/>
          <w:szCs w:val="28"/>
          <w:lang w:val="ru-RU"/>
        </w:rPr>
        <w:t xml:space="preserve"> бюджета </w:t>
      </w:r>
      <w:r w:rsidR="007369AC">
        <w:rPr>
          <w:sz w:val="28"/>
          <w:szCs w:val="28"/>
          <w:lang w:val="ru-RU"/>
        </w:rPr>
        <w:t>Кулешовского сельского поселения (</w:t>
      </w:r>
      <w:r w:rsidRPr="000A4C4A">
        <w:rPr>
          <w:sz w:val="28"/>
          <w:szCs w:val="28"/>
          <w:lang w:val="ru-RU"/>
        </w:rPr>
        <w:t>далее - консолидированный бюджет</w:t>
      </w:r>
      <w:r>
        <w:rPr>
          <w:sz w:val="28"/>
          <w:szCs w:val="28"/>
          <w:lang w:val="ru-RU"/>
        </w:rPr>
        <w:t>).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0A4C4A">
        <w:rPr>
          <w:sz w:val="28"/>
          <w:szCs w:val="28"/>
          <w:lang w:val="ru-RU"/>
        </w:rPr>
        <w:t xml:space="preserve">В 2018 году объем доходов составил </w:t>
      </w:r>
      <w:r w:rsidR="00071683">
        <w:rPr>
          <w:sz w:val="28"/>
          <w:szCs w:val="28"/>
          <w:lang w:val="ru-RU"/>
        </w:rPr>
        <w:t>32930,6 тыс.</w:t>
      </w:r>
      <w:r w:rsidRPr="000A4C4A">
        <w:rPr>
          <w:sz w:val="28"/>
          <w:szCs w:val="28"/>
          <w:lang w:val="ru-RU"/>
        </w:rPr>
        <w:t xml:space="preserve"> рублей, </w:t>
      </w:r>
      <w:r w:rsidR="00071683">
        <w:rPr>
          <w:sz w:val="28"/>
          <w:szCs w:val="28"/>
          <w:lang w:val="ru-RU"/>
        </w:rPr>
        <w:t xml:space="preserve">что  ниже уровня аналогичного периода </w:t>
      </w:r>
      <w:r w:rsidRPr="000A4C4A">
        <w:rPr>
          <w:sz w:val="28"/>
          <w:szCs w:val="28"/>
          <w:lang w:val="ru-RU"/>
        </w:rPr>
        <w:t xml:space="preserve"> 2017 год</w:t>
      </w:r>
      <w:r w:rsidR="00071683">
        <w:rPr>
          <w:sz w:val="28"/>
          <w:szCs w:val="28"/>
          <w:lang w:val="ru-RU"/>
        </w:rPr>
        <w:t>а</w:t>
      </w:r>
      <w:r w:rsidRPr="000A4C4A">
        <w:rPr>
          <w:sz w:val="28"/>
          <w:szCs w:val="28"/>
          <w:lang w:val="ru-RU"/>
        </w:rPr>
        <w:t xml:space="preserve"> на </w:t>
      </w:r>
      <w:r w:rsidR="00071683">
        <w:rPr>
          <w:sz w:val="28"/>
          <w:szCs w:val="28"/>
          <w:lang w:val="ru-RU"/>
        </w:rPr>
        <w:t xml:space="preserve">135 802,4 </w:t>
      </w:r>
      <w:r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>. Исполнение плана по доходам составило 101,4 %. Собственных доходов в бюджет 2018г поступило в размере 15895,8 тыс.руб, 102,9 % от плана. В сравнении с 2017 г ,в 2018 году собственные доходы бюджета повысились на 2056,5 тыс.руб.</w:t>
      </w:r>
      <w:r w:rsidRPr="000A4C4A">
        <w:rPr>
          <w:sz w:val="28"/>
          <w:szCs w:val="28"/>
          <w:lang w:val="ru-RU"/>
        </w:rPr>
        <w:t xml:space="preserve"> Расходы составили </w:t>
      </w:r>
      <w:r w:rsidR="00071683">
        <w:rPr>
          <w:sz w:val="28"/>
          <w:szCs w:val="28"/>
          <w:lang w:val="ru-RU"/>
        </w:rPr>
        <w:t>23196,3</w:t>
      </w:r>
      <w:r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>исполнение плана 98,5 %</w:t>
      </w:r>
      <w:r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>который составляет 23561</w:t>
      </w:r>
      <w:r w:rsidR="004815FC">
        <w:rPr>
          <w:sz w:val="28"/>
          <w:szCs w:val="28"/>
          <w:lang w:val="ru-RU"/>
        </w:rPr>
        <w:t>,0</w:t>
      </w:r>
      <w:r w:rsidR="00071683">
        <w:rPr>
          <w:sz w:val="28"/>
          <w:szCs w:val="28"/>
          <w:lang w:val="ru-RU"/>
        </w:rPr>
        <w:t xml:space="preserve"> тыс.руб</w:t>
      </w:r>
      <w:r w:rsidR="004815FC">
        <w:rPr>
          <w:sz w:val="28"/>
          <w:szCs w:val="28"/>
          <w:lang w:val="ru-RU"/>
        </w:rPr>
        <w:t>.</w:t>
      </w:r>
      <w:r w:rsidRPr="000A4C4A">
        <w:rPr>
          <w:sz w:val="28"/>
          <w:szCs w:val="28"/>
          <w:lang w:val="ru-RU"/>
        </w:rPr>
        <w:t xml:space="preserve"> По результатам исполнения консолидированного бюджета сложилось превышение доходов над расходами в сумме </w:t>
      </w:r>
      <w:r w:rsidR="004815FC" w:rsidRPr="00942675">
        <w:rPr>
          <w:color w:val="FF0000"/>
          <w:sz w:val="28"/>
          <w:szCs w:val="28"/>
          <w:lang w:val="ru-RU"/>
        </w:rPr>
        <w:t>9734,1тыс.</w:t>
      </w:r>
      <w:r w:rsidRPr="000A4C4A">
        <w:rPr>
          <w:sz w:val="28"/>
          <w:szCs w:val="28"/>
          <w:lang w:val="ru-RU"/>
        </w:rPr>
        <w:t xml:space="preserve"> рублей.</w:t>
      </w: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составил </w:t>
      </w:r>
      <w:r w:rsidR="004815FC">
        <w:rPr>
          <w:sz w:val="28"/>
          <w:szCs w:val="28"/>
          <w:lang w:val="ru-RU"/>
        </w:rPr>
        <w:t xml:space="preserve">2,4 </w:t>
      </w:r>
      <w:r w:rsidRPr="00AC2E49">
        <w:rPr>
          <w:sz w:val="28"/>
          <w:szCs w:val="28"/>
          <w:lang w:val="ru-RU"/>
        </w:rPr>
        <w:t>тыс. рублей.</w:t>
      </w:r>
    </w:p>
    <w:p w:rsidR="00942675" w:rsidRDefault="00942675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lastRenderedPageBreak/>
        <w:t xml:space="preserve">Основными доходными источниками консолидированного бюджета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являлись безвозмездные поступления. Их объем составил</w:t>
      </w:r>
      <w:r w:rsidR="00DD5E9D">
        <w:rPr>
          <w:sz w:val="28"/>
          <w:szCs w:val="28"/>
          <w:lang w:val="ru-RU"/>
        </w:rPr>
        <w:t xml:space="preserve"> </w:t>
      </w:r>
      <w:r w:rsidR="00434C2F">
        <w:rPr>
          <w:sz w:val="28"/>
          <w:szCs w:val="28"/>
          <w:lang w:val="ru-RU"/>
        </w:rPr>
        <w:t>17034,8 тыс.</w:t>
      </w:r>
      <w:r w:rsidRPr="00AC2E49">
        <w:rPr>
          <w:sz w:val="28"/>
          <w:szCs w:val="28"/>
          <w:lang w:val="ru-RU"/>
        </w:rPr>
        <w:t xml:space="preserve"> рублей, или </w:t>
      </w:r>
      <w:r w:rsidR="00434C2F">
        <w:rPr>
          <w:sz w:val="28"/>
          <w:szCs w:val="28"/>
          <w:lang w:val="ru-RU"/>
        </w:rPr>
        <w:t>51,6</w:t>
      </w:r>
      <w:r w:rsidRPr="00AC2E49">
        <w:rPr>
          <w:sz w:val="28"/>
          <w:szCs w:val="28"/>
          <w:lang w:val="ru-RU"/>
        </w:rPr>
        <w:t xml:space="preserve"> процентов всех поступлений в консолидированный бюджет </w:t>
      </w:r>
      <w:r w:rsidR="00DD5E9D">
        <w:rPr>
          <w:sz w:val="28"/>
          <w:szCs w:val="28"/>
          <w:lang w:val="ru-RU"/>
        </w:rPr>
        <w:t>Кулешовского сельского поселения.Бю</w:t>
      </w:r>
      <w:r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434C2F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>.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 xml:space="preserve">Приоритетным направлением является обеспечение расходов в социальной сфере. Расходы на образование, социальную политику, культуру, спорт и здравоохранение в 2018 году составили </w:t>
      </w:r>
      <w:r w:rsidR="00434C2F">
        <w:rPr>
          <w:sz w:val="28"/>
          <w:szCs w:val="28"/>
          <w:lang w:val="ru-RU"/>
        </w:rPr>
        <w:t>3001,7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434C2F">
        <w:rPr>
          <w:sz w:val="28"/>
          <w:szCs w:val="28"/>
          <w:lang w:val="ru-RU"/>
        </w:rPr>
        <w:t xml:space="preserve">13 </w:t>
      </w:r>
      <w:r w:rsidRPr="008200EF">
        <w:rPr>
          <w:sz w:val="28"/>
          <w:szCs w:val="28"/>
          <w:lang w:val="ru-RU"/>
        </w:rPr>
        <w:t xml:space="preserve">процента всех расходов консолидированного бюджета.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В 2018 году в </w:t>
      </w:r>
      <w:r w:rsidR="00434C2F">
        <w:rPr>
          <w:sz w:val="28"/>
          <w:szCs w:val="28"/>
          <w:lang w:val="ru-RU"/>
        </w:rPr>
        <w:t>Кулешовском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14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F3572F">
        <w:rPr>
          <w:sz w:val="28"/>
          <w:szCs w:val="28"/>
          <w:lang w:val="ru-RU"/>
        </w:rPr>
        <w:t>23389,7 тыс.</w:t>
      </w:r>
      <w:r w:rsidRPr="00B67F08">
        <w:rPr>
          <w:sz w:val="28"/>
          <w:szCs w:val="28"/>
          <w:lang w:val="ru-RU"/>
        </w:rPr>
        <w:t xml:space="preserve"> рублей, или 99,3 проце</w:t>
      </w:r>
      <w:r w:rsidR="00DD5E9D">
        <w:rPr>
          <w:sz w:val="28"/>
          <w:szCs w:val="28"/>
          <w:lang w:val="ru-RU"/>
        </w:rPr>
        <w:t>нта всех расходов бюджета Кулешовского сельского поселения.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>За период I полугодия 2019 г. исполнение консолидированного бюджета Азовского района составило: по доходам –</w:t>
      </w:r>
      <w:r w:rsidR="00DD5E9D">
        <w:rPr>
          <w:sz w:val="28"/>
          <w:szCs w:val="28"/>
          <w:lang w:val="ru-RU"/>
        </w:rPr>
        <w:t>17165,6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545B31">
        <w:rPr>
          <w:sz w:val="28"/>
          <w:szCs w:val="28"/>
          <w:lang w:val="ru-RU"/>
        </w:rPr>
        <w:t xml:space="preserve">32,7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545B31">
        <w:rPr>
          <w:sz w:val="28"/>
          <w:szCs w:val="28"/>
          <w:lang w:val="ru-RU"/>
        </w:rPr>
        <w:t>12614,6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545B31">
        <w:rPr>
          <w:sz w:val="28"/>
          <w:szCs w:val="28"/>
          <w:lang w:val="ru-RU"/>
        </w:rPr>
        <w:t xml:space="preserve">24,1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942675">
        <w:rPr>
          <w:sz w:val="28"/>
          <w:szCs w:val="28"/>
          <w:lang w:val="ru-RU"/>
        </w:rPr>
        <w:t xml:space="preserve">Кулешовского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территории  налоговых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5B31">
        <w:rPr>
          <w:sz w:val="28"/>
          <w:szCs w:val="28"/>
          <w:lang w:val="ru-RU"/>
        </w:rPr>
        <w:t>Кулешовского сельского поселения.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290513">
        <w:rPr>
          <w:sz w:val="28"/>
          <w:szCs w:val="28"/>
          <w:lang w:val="ru-RU"/>
        </w:rPr>
        <w:t>Кулешовского селького поселения в разделе « Бюджет для граждан»</w:t>
      </w:r>
    </w:p>
    <w:p w:rsidR="00EE6322" w:rsidRPr="008C2C6E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и налоговой политики на 2020 – 2022 годы</w:t>
      </w:r>
    </w:p>
    <w:p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903225">
        <w:rPr>
          <w:sz w:val="28"/>
          <w:szCs w:val="28"/>
          <w:lang w:val="ru-RU"/>
        </w:rPr>
        <w:t xml:space="preserve">Бюджетная и налоговая политика на 2020 - 2022 годы сохранит свою направленность на реализацию приоритетных задач социально-экономического развития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903225">
        <w:rPr>
          <w:sz w:val="28"/>
          <w:szCs w:val="28"/>
          <w:lang w:val="ru-RU"/>
        </w:rPr>
        <w:t xml:space="preserve">, будет ориентирована на достижение национальных целей развития посредством </w:t>
      </w:r>
      <w:r w:rsidRPr="00EE6322">
        <w:rPr>
          <w:sz w:val="28"/>
          <w:szCs w:val="28"/>
          <w:lang w:val="ru-RU"/>
        </w:rPr>
        <w:t>софинансирования</w:t>
      </w:r>
      <w:r w:rsidRPr="00903225">
        <w:rPr>
          <w:sz w:val="28"/>
          <w:szCs w:val="28"/>
          <w:lang w:val="ru-RU"/>
        </w:rPr>
        <w:t xml:space="preserve"> региональных проектов в соответствии с Указом Президента Российско</w:t>
      </w:r>
      <w:r>
        <w:rPr>
          <w:sz w:val="28"/>
          <w:szCs w:val="28"/>
          <w:lang w:val="ru-RU"/>
        </w:rPr>
        <w:t xml:space="preserve">й Федерации от 07.05.2018 N 204, 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>
        <w:rPr>
          <w:sz w:val="28"/>
          <w:szCs w:val="28"/>
          <w:lang w:val="ru-RU"/>
        </w:rPr>
        <w:t xml:space="preserve">районными </w:t>
      </w:r>
      <w:r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Продолжится реализация взятой за основу в 2017 году бюджетной политики. Первоочередными задачами на 2020 – 2022 годы будут являться </w:t>
      </w:r>
      <w:r w:rsidRPr="00B67F08">
        <w:rPr>
          <w:sz w:val="28"/>
          <w:szCs w:val="28"/>
          <w:lang w:val="ru-RU"/>
        </w:rPr>
        <w:lastRenderedPageBreak/>
        <w:t xml:space="preserve">предсказуемость и устойчивость бюджетной системы, качественное и эффективное муниципальное управление, </w:t>
      </w:r>
      <w:r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F08">
        <w:rPr>
          <w:sz w:val="28"/>
          <w:szCs w:val="28"/>
          <w:lang w:val="ru-RU"/>
        </w:rPr>
        <w:t xml:space="preserve">,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290513">
        <w:rPr>
          <w:sz w:val="28"/>
          <w:szCs w:val="28"/>
          <w:lang w:val="ru-RU"/>
        </w:rPr>
        <w:t>Кулешовское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N 597, от 01.06.2012 N 761, от 28.12.2012 N 1688 (далее -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 </w:t>
      </w:r>
      <w:r w:rsidRPr="00D949A7">
        <w:rPr>
          <w:sz w:val="28"/>
          <w:szCs w:val="28"/>
          <w:lang w:val="ru-RU"/>
        </w:rPr>
        <w:lastRenderedPageBreak/>
        <w:t>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2020 - 2022 годы.</w:t>
      </w:r>
    </w:p>
    <w:p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соответствии с планируемым внесением изменений в статью 1 Федерального закона от 19.06.2000 N 82-ФЗ "О минимальном размере оплаты труда" будет предусмотрено повышение расходов на заработную плату низкооплачиваемых работников.</w:t>
      </w:r>
    </w:p>
    <w:p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290513">
        <w:rPr>
          <w:sz w:val="28"/>
          <w:szCs w:val="28"/>
          <w:lang w:val="ru-RU"/>
        </w:rPr>
        <w:t>Кулешовского сельского поселения.</w:t>
      </w: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 xml:space="preserve"> с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lastRenderedPageBreak/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методическую поддержку </w:t>
      </w:r>
      <w:r w:rsidR="00EA0004">
        <w:rPr>
          <w:sz w:val="28"/>
          <w:szCs w:val="28"/>
          <w:lang w:val="ru-RU"/>
        </w:rPr>
        <w:t>Кулешовского селького поселения со стороны района и области.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В соответствии с изменениями, внесенными в Бюджетный кодекс Российской Федерации Федеральным законом от 26.07.2019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предусмотрено внесение изменений в нормативно-правовую базу в части уточнения положений по осуществлению внутреннего муниципального финансового контроля и внутреннего финансового аудита на основании утвержденных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стандартов.</w:t>
      </w:r>
    </w:p>
    <w:p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BD1850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BD1850">
        <w:rPr>
          <w:b/>
          <w:bCs/>
          <w:sz w:val="28"/>
          <w:szCs w:val="28"/>
          <w:lang w:val="ru-RU"/>
        </w:rPr>
        <w:t>3. Повышение эффективности</w:t>
      </w:r>
    </w:p>
    <w:p w:rsidR="00907604" w:rsidRPr="00BD1850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BD1850">
        <w:rPr>
          <w:b/>
          <w:bCs/>
          <w:sz w:val="28"/>
          <w:szCs w:val="28"/>
          <w:lang w:val="ru-RU"/>
        </w:rPr>
        <w:t xml:space="preserve">и </w:t>
      </w:r>
      <w:r w:rsidRPr="00B25921">
        <w:rPr>
          <w:b/>
          <w:bCs/>
          <w:sz w:val="28"/>
          <w:szCs w:val="28"/>
          <w:lang w:val="ru-RU"/>
        </w:rPr>
        <w:t>приоритизация</w:t>
      </w:r>
      <w:r w:rsidRPr="00BD1850">
        <w:rPr>
          <w:b/>
          <w:bCs/>
          <w:sz w:val="28"/>
          <w:szCs w:val="28"/>
          <w:lang w:val="ru-RU"/>
        </w:rPr>
        <w:t xml:space="preserve"> бюджетных расходов</w:t>
      </w:r>
    </w:p>
    <w:p w:rsidR="00EA0004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Кулешовского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Кулешовского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B25921">
        <w:rPr>
          <w:sz w:val="28"/>
          <w:szCs w:val="28"/>
          <w:lang w:val="ru-RU"/>
        </w:rPr>
        <w:t xml:space="preserve">,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lastRenderedPageBreak/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2020 - 2022 годах будут: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дорожная деятельность;</w:t>
      </w:r>
    </w:p>
    <w:p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:rsidR="00907604" w:rsidRDefault="00907604" w:rsidP="006761D1">
      <w:pPr>
        <w:rPr>
          <w:sz w:val="28"/>
          <w:szCs w:val="28"/>
          <w:lang w:val="ru-RU"/>
        </w:rPr>
      </w:pPr>
    </w:p>
    <w:p w:rsidR="00907604" w:rsidRPr="00D06938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D06938">
        <w:rPr>
          <w:b/>
          <w:bCs/>
          <w:sz w:val="28"/>
          <w:szCs w:val="28"/>
          <w:lang w:val="ru-RU"/>
        </w:rPr>
        <w:t>4. Основные подходы к формированию межбюджетных отношений</w:t>
      </w:r>
    </w:p>
    <w:p w:rsidR="00EA0004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 xml:space="preserve">Бюджетная политика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D06938">
        <w:rPr>
          <w:sz w:val="28"/>
          <w:szCs w:val="28"/>
          <w:lang w:val="ru-RU"/>
        </w:rPr>
        <w:t>в сфере межбюджетных отношений в 20</w:t>
      </w:r>
      <w:r>
        <w:rPr>
          <w:sz w:val="28"/>
          <w:szCs w:val="28"/>
          <w:lang w:val="ru-RU"/>
        </w:rPr>
        <w:t>20</w:t>
      </w:r>
      <w:r w:rsidRPr="00D06938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2</w:t>
      </w:r>
      <w:r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Для поддержания сбалансированности  бюджет</w:t>
      </w:r>
      <w:r w:rsidR="00942675">
        <w:rPr>
          <w:sz w:val="28"/>
          <w:szCs w:val="28"/>
          <w:lang w:val="ru-RU"/>
        </w:rPr>
        <w:t xml:space="preserve">а Кулешовского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942675">
        <w:rPr>
          <w:sz w:val="28"/>
          <w:szCs w:val="28"/>
          <w:lang w:val="ru-RU"/>
        </w:rPr>
        <w:lastRenderedPageBreak/>
        <w:t>Кулешовского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>у Кулешовского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Кулешовского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07604" w:rsidRPr="006761D1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20</w:t>
      </w:r>
      <w:r w:rsidRPr="00D06938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2</w:t>
      </w:r>
      <w:r w:rsidRPr="00D06938">
        <w:rPr>
          <w:sz w:val="28"/>
          <w:szCs w:val="28"/>
          <w:lang w:val="ru-RU"/>
        </w:rPr>
        <w:t xml:space="preserve"> годы будет исходить из обеспечения принятия реалистичного бюджета и повышения качества бюджетного планирования.</w:t>
      </w:r>
    </w:p>
    <w:sectPr w:rsidR="00907604" w:rsidRPr="006761D1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36" w:rsidRDefault="00582536">
      <w:r>
        <w:separator/>
      </w:r>
    </w:p>
  </w:endnote>
  <w:endnote w:type="continuationSeparator" w:id="0">
    <w:p w:rsidR="00582536" w:rsidRDefault="00582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DD0AC6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DD0AC6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DC6797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36" w:rsidRDefault="00582536">
      <w:r>
        <w:separator/>
      </w:r>
    </w:p>
  </w:footnote>
  <w:footnote w:type="continuationSeparator" w:id="0">
    <w:p w:rsidR="00582536" w:rsidRDefault="00582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71683"/>
    <w:rsid w:val="00086EDC"/>
    <w:rsid w:val="000918BD"/>
    <w:rsid w:val="00095745"/>
    <w:rsid w:val="000A4C4A"/>
    <w:rsid w:val="000B2BB9"/>
    <w:rsid w:val="000B79AF"/>
    <w:rsid w:val="000E137A"/>
    <w:rsid w:val="000E377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F6D49"/>
    <w:rsid w:val="001F7AB2"/>
    <w:rsid w:val="00230979"/>
    <w:rsid w:val="002434B4"/>
    <w:rsid w:val="00243D18"/>
    <w:rsid w:val="0026369E"/>
    <w:rsid w:val="00290513"/>
    <w:rsid w:val="00295671"/>
    <w:rsid w:val="00296ADC"/>
    <w:rsid w:val="002A41AF"/>
    <w:rsid w:val="002A7456"/>
    <w:rsid w:val="002B53DC"/>
    <w:rsid w:val="002C1F1E"/>
    <w:rsid w:val="002F2E07"/>
    <w:rsid w:val="00301612"/>
    <w:rsid w:val="00306183"/>
    <w:rsid w:val="00311411"/>
    <w:rsid w:val="00315CDB"/>
    <w:rsid w:val="003169E7"/>
    <w:rsid w:val="00354BF5"/>
    <w:rsid w:val="003559C1"/>
    <w:rsid w:val="0036791C"/>
    <w:rsid w:val="0038363D"/>
    <w:rsid w:val="003938CC"/>
    <w:rsid w:val="003B0E3E"/>
    <w:rsid w:val="003B343C"/>
    <w:rsid w:val="003C131A"/>
    <w:rsid w:val="003C7D98"/>
    <w:rsid w:val="003D406F"/>
    <w:rsid w:val="003F3279"/>
    <w:rsid w:val="00426656"/>
    <w:rsid w:val="004325A2"/>
    <w:rsid w:val="00434C2F"/>
    <w:rsid w:val="00436033"/>
    <w:rsid w:val="004369FF"/>
    <w:rsid w:val="0044037D"/>
    <w:rsid w:val="0045131D"/>
    <w:rsid w:val="00456269"/>
    <w:rsid w:val="00465C68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F6C4F"/>
    <w:rsid w:val="005048BC"/>
    <w:rsid w:val="005140CB"/>
    <w:rsid w:val="00530A13"/>
    <w:rsid w:val="00532247"/>
    <w:rsid w:val="005435D7"/>
    <w:rsid w:val="00545B31"/>
    <w:rsid w:val="0055531D"/>
    <w:rsid w:val="00576593"/>
    <w:rsid w:val="00582536"/>
    <w:rsid w:val="005B3366"/>
    <w:rsid w:val="005E10B2"/>
    <w:rsid w:val="005E578E"/>
    <w:rsid w:val="005F5AF1"/>
    <w:rsid w:val="005F5FCF"/>
    <w:rsid w:val="00617713"/>
    <w:rsid w:val="0063012F"/>
    <w:rsid w:val="00631B8F"/>
    <w:rsid w:val="00650BFF"/>
    <w:rsid w:val="00652775"/>
    <w:rsid w:val="00666EA0"/>
    <w:rsid w:val="00674175"/>
    <w:rsid w:val="006761D1"/>
    <w:rsid w:val="00694A9A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5CB7"/>
    <w:rsid w:val="00776CF2"/>
    <w:rsid w:val="007A4184"/>
    <w:rsid w:val="007A628C"/>
    <w:rsid w:val="007C1021"/>
    <w:rsid w:val="007C3772"/>
    <w:rsid w:val="007D4F40"/>
    <w:rsid w:val="007D536D"/>
    <w:rsid w:val="007E2CBF"/>
    <w:rsid w:val="007E3DCD"/>
    <w:rsid w:val="007E7650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52F3C"/>
    <w:rsid w:val="0085521F"/>
    <w:rsid w:val="0085675F"/>
    <w:rsid w:val="00867D75"/>
    <w:rsid w:val="00873689"/>
    <w:rsid w:val="00873773"/>
    <w:rsid w:val="008A76EB"/>
    <w:rsid w:val="008C2C6E"/>
    <w:rsid w:val="008E74DB"/>
    <w:rsid w:val="008F5842"/>
    <w:rsid w:val="008F6112"/>
    <w:rsid w:val="008F6327"/>
    <w:rsid w:val="00902AF0"/>
    <w:rsid w:val="00903225"/>
    <w:rsid w:val="0090507F"/>
    <w:rsid w:val="00907604"/>
    <w:rsid w:val="009234CB"/>
    <w:rsid w:val="00924844"/>
    <w:rsid w:val="00933ED8"/>
    <w:rsid w:val="00942675"/>
    <w:rsid w:val="009571A2"/>
    <w:rsid w:val="00961A07"/>
    <w:rsid w:val="00975668"/>
    <w:rsid w:val="009C40FE"/>
    <w:rsid w:val="009C5AB0"/>
    <w:rsid w:val="009D16B9"/>
    <w:rsid w:val="009D7414"/>
    <w:rsid w:val="009F6507"/>
    <w:rsid w:val="009F7E38"/>
    <w:rsid w:val="00A032C9"/>
    <w:rsid w:val="00A0649B"/>
    <w:rsid w:val="00A13D0B"/>
    <w:rsid w:val="00A211A4"/>
    <w:rsid w:val="00A4203D"/>
    <w:rsid w:val="00A51421"/>
    <w:rsid w:val="00A62605"/>
    <w:rsid w:val="00AA13AB"/>
    <w:rsid w:val="00AB1027"/>
    <w:rsid w:val="00AB3678"/>
    <w:rsid w:val="00AC08E3"/>
    <w:rsid w:val="00AC0BF9"/>
    <w:rsid w:val="00AC2E49"/>
    <w:rsid w:val="00AC3460"/>
    <w:rsid w:val="00AC780E"/>
    <w:rsid w:val="00AD26E1"/>
    <w:rsid w:val="00AD65F2"/>
    <w:rsid w:val="00B15075"/>
    <w:rsid w:val="00B15727"/>
    <w:rsid w:val="00B171DD"/>
    <w:rsid w:val="00B25921"/>
    <w:rsid w:val="00B32A9C"/>
    <w:rsid w:val="00B42D1C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E1F85"/>
    <w:rsid w:val="00BE283B"/>
    <w:rsid w:val="00BF0EDC"/>
    <w:rsid w:val="00BF2392"/>
    <w:rsid w:val="00BF3465"/>
    <w:rsid w:val="00BF7A82"/>
    <w:rsid w:val="00C02766"/>
    <w:rsid w:val="00C22C94"/>
    <w:rsid w:val="00C26A42"/>
    <w:rsid w:val="00C41528"/>
    <w:rsid w:val="00C5062D"/>
    <w:rsid w:val="00C56C3D"/>
    <w:rsid w:val="00C6144D"/>
    <w:rsid w:val="00C664C0"/>
    <w:rsid w:val="00C72760"/>
    <w:rsid w:val="00C810C1"/>
    <w:rsid w:val="00C85F79"/>
    <w:rsid w:val="00CB0938"/>
    <w:rsid w:val="00CF53E1"/>
    <w:rsid w:val="00CF57D4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DCE"/>
    <w:rsid w:val="00DC073D"/>
    <w:rsid w:val="00DC6797"/>
    <w:rsid w:val="00DD0AC6"/>
    <w:rsid w:val="00DD0C02"/>
    <w:rsid w:val="00DD5E9D"/>
    <w:rsid w:val="00DD749B"/>
    <w:rsid w:val="00DE03BA"/>
    <w:rsid w:val="00DE2DBB"/>
    <w:rsid w:val="00DF60E2"/>
    <w:rsid w:val="00E13A12"/>
    <w:rsid w:val="00E34E9B"/>
    <w:rsid w:val="00E372B8"/>
    <w:rsid w:val="00E463E2"/>
    <w:rsid w:val="00E70E84"/>
    <w:rsid w:val="00EA0004"/>
    <w:rsid w:val="00EC1426"/>
    <w:rsid w:val="00ED392E"/>
    <w:rsid w:val="00ED491B"/>
    <w:rsid w:val="00EE28F0"/>
    <w:rsid w:val="00EE5A50"/>
    <w:rsid w:val="00EE6322"/>
    <w:rsid w:val="00F043B1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920FF"/>
    <w:rsid w:val="00F96068"/>
    <w:rsid w:val="00F972AA"/>
    <w:rsid w:val="00FA34DD"/>
    <w:rsid w:val="00FA73C0"/>
    <w:rsid w:val="00FB3203"/>
    <w:rsid w:val="00FB64A8"/>
    <w:rsid w:val="00FC7A28"/>
    <w:rsid w:val="00FE4E98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Fin</cp:lastModifiedBy>
  <cp:revision>95</cp:revision>
  <cp:lastPrinted>2019-11-13T13:23:00Z</cp:lastPrinted>
  <dcterms:created xsi:type="dcterms:W3CDTF">2017-10-05T18:34:00Z</dcterms:created>
  <dcterms:modified xsi:type="dcterms:W3CDTF">2019-11-22T11:02:00Z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